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BAB1" w14:textId="529E2BD1" w:rsidR="00664EB3" w:rsidRDefault="00664EB3" w:rsidP="00931254">
      <w:pPr>
        <w:pStyle w:val="OZNPROJEKTUwskazaniedatylubwersjiprojektu"/>
        <w:rPr>
          <w:rStyle w:val="Kkursywa"/>
        </w:rPr>
      </w:pPr>
      <w:bookmarkStart w:id="0" w:name="_GoBack"/>
      <w:bookmarkEnd w:id="0"/>
      <w:r w:rsidRPr="00931254">
        <w:rPr>
          <w:rStyle w:val="Kkursywa"/>
        </w:rPr>
        <w:t>Projekt</w:t>
      </w:r>
      <w:r w:rsidR="00931254" w:rsidRPr="00931254">
        <w:rPr>
          <w:rStyle w:val="Kkursywa"/>
        </w:rPr>
        <w:t xml:space="preserve"> z dnia </w:t>
      </w:r>
      <w:r w:rsidR="003821FE">
        <w:rPr>
          <w:rStyle w:val="Kkursywa"/>
        </w:rPr>
        <w:t>13 lutego</w:t>
      </w:r>
      <w:r w:rsidR="00604BBC">
        <w:rPr>
          <w:rStyle w:val="Kkursywa"/>
        </w:rPr>
        <w:t xml:space="preserve"> 2020</w:t>
      </w:r>
      <w:r w:rsidR="00931254" w:rsidRPr="00931254">
        <w:rPr>
          <w:rStyle w:val="Kkursywa"/>
        </w:rPr>
        <w:t xml:space="preserve"> r.</w:t>
      </w:r>
    </w:p>
    <w:p w14:paraId="50520C37" w14:textId="77777777" w:rsidR="00180F1F" w:rsidRPr="00180F1F" w:rsidRDefault="00180F1F" w:rsidP="00180F1F">
      <w:pPr>
        <w:pStyle w:val="OZNRODZAKTUtznustawalubrozporzdzenieiorganwydajcy"/>
      </w:pPr>
    </w:p>
    <w:p w14:paraId="76AB73D1" w14:textId="77777777" w:rsidR="00664EB3" w:rsidRPr="00D76D3C" w:rsidRDefault="00664EB3" w:rsidP="00664EB3">
      <w:pPr>
        <w:pStyle w:val="OZNRODZAKTUtznustawalubrozporzdzenieiorganwydajcy"/>
      </w:pPr>
      <w:r w:rsidRPr="00D76D3C">
        <w:t>ROZPORZĄDZENIE</w:t>
      </w:r>
    </w:p>
    <w:p w14:paraId="2A8710F6" w14:textId="77777777" w:rsidR="00664EB3" w:rsidRPr="00D76D3C" w:rsidRDefault="00664EB3" w:rsidP="00664EB3">
      <w:pPr>
        <w:pStyle w:val="OZNRODZAKTUtznustawalubrozporzdzenieiorganwydajcy"/>
      </w:pPr>
      <w:r w:rsidRPr="00D76D3C">
        <w:t>MINISTRA SPRAWIEDLIWOŚCI</w:t>
      </w:r>
    </w:p>
    <w:p w14:paraId="1AA286E9" w14:textId="77777777" w:rsidR="00664EB3" w:rsidRPr="00D76D3C" w:rsidRDefault="00664EB3" w:rsidP="00664EB3">
      <w:pPr>
        <w:pStyle w:val="DATAAKTUdatauchwalenialubwydaniaaktu"/>
      </w:pPr>
      <w:r w:rsidRPr="00D76D3C">
        <w:t>z dnia ………. 20</w:t>
      </w:r>
      <w:r w:rsidR="00DB2A51">
        <w:t>20</w:t>
      </w:r>
      <w:r w:rsidRPr="00D76D3C">
        <w:t xml:space="preserve"> r.</w:t>
      </w:r>
    </w:p>
    <w:p w14:paraId="681E4E71" w14:textId="77777777" w:rsidR="00664EB3" w:rsidRPr="00D76D3C" w:rsidRDefault="00664EB3" w:rsidP="00664EB3">
      <w:pPr>
        <w:pStyle w:val="TYTUAKTUprzedmiotregulacjiustawylubrozporzdzenia"/>
      </w:pPr>
      <w:r w:rsidRPr="00D76D3C">
        <w:t xml:space="preserve">w sprawie </w:t>
      </w:r>
      <w:r w:rsidR="00BE7569">
        <w:t xml:space="preserve">sposobu i trybu prowadzenia oraz udostępniania </w:t>
      </w:r>
      <w:r w:rsidR="006B5F9F">
        <w:t xml:space="preserve">uczestnikom postępowania upadłościowego oraz służbie nadzoru Ministra Sprawiedliwości </w:t>
      </w:r>
      <w:r w:rsidR="00BE7569">
        <w:t xml:space="preserve">akt </w:t>
      </w:r>
      <w:r w:rsidR="002C57EA">
        <w:t xml:space="preserve">do zgłoszeń wierzytelności </w:t>
      </w:r>
    </w:p>
    <w:p w14:paraId="6DB42EEC" w14:textId="58F56741" w:rsidR="00664EB3" w:rsidRPr="00D76D3C" w:rsidRDefault="00931254" w:rsidP="00931254">
      <w:pPr>
        <w:pStyle w:val="NIEARTTEKSTtekstnieartykuowanynppodstprawnarozplubpreambua"/>
      </w:pPr>
      <w:r>
        <w:t>Na podstawie art. 2</w:t>
      </w:r>
      <w:r w:rsidR="002C57EA">
        <w:t>28</w:t>
      </w:r>
      <w:r>
        <w:t>a</w:t>
      </w:r>
      <w:r w:rsidR="00664EB3" w:rsidRPr="00D76D3C">
        <w:t xml:space="preserve"> </w:t>
      </w:r>
      <w:r>
        <w:t xml:space="preserve">ust. </w:t>
      </w:r>
      <w:r w:rsidR="002C57EA">
        <w:t xml:space="preserve">6 </w:t>
      </w:r>
      <w:r w:rsidR="00664EB3" w:rsidRPr="00D76D3C">
        <w:t xml:space="preserve">ustawy z dnia </w:t>
      </w:r>
      <w:r w:rsidR="002C57EA">
        <w:t>28 lutego</w:t>
      </w:r>
      <w:r w:rsidR="00664EB3" w:rsidRPr="00D76D3C">
        <w:t xml:space="preserve"> 200</w:t>
      </w:r>
      <w:r w:rsidR="002C57EA">
        <w:t>3</w:t>
      </w:r>
      <w:r w:rsidR="00664EB3" w:rsidRPr="00D76D3C">
        <w:t xml:space="preserve"> r. </w:t>
      </w:r>
      <w:r w:rsidR="008133CB">
        <w:t>–</w:t>
      </w:r>
      <w:r w:rsidR="006B5F9F">
        <w:t xml:space="preserve"> </w:t>
      </w:r>
      <w:r w:rsidR="00E30DAC">
        <w:t>Prawo upad</w:t>
      </w:r>
      <w:r w:rsidR="002B4C9B">
        <w:t>łościowe</w:t>
      </w:r>
      <w:r w:rsidR="00664EB3" w:rsidRPr="00D76D3C">
        <w:t xml:space="preserve"> (Dz. U.</w:t>
      </w:r>
      <w:r>
        <w:t xml:space="preserve"> z 201</w:t>
      </w:r>
      <w:r w:rsidR="002C57EA">
        <w:t>9</w:t>
      </w:r>
      <w:r>
        <w:t xml:space="preserve"> r. </w:t>
      </w:r>
      <w:r w:rsidR="008133CB" w:rsidRPr="008133CB">
        <w:t xml:space="preserve">poz. 498, z </w:t>
      </w:r>
      <w:proofErr w:type="spellStart"/>
      <w:r w:rsidR="008133CB" w:rsidRPr="008133CB">
        <w:t>późn</w:t>
      </w:r>
      <w:proofErr w:type="spellEnd"/>
      <w:r w:rsidR="008133CB" w:rsidRPr="008133CB">
        <w:t>. zm.</w:t>
      </w:r>
      <w:r w:rsidR="008133CB">
        <w:rPr>
          <w:rStyle w:val="Odwoanieprzypisudolnego"/>
        </w:rPr>
        <w:footnoteReference w:id="1"/>
      </w:r>
      <w:r w:rsidR="008133CB">
        <w:rPr>
          <w:rStyle w:val="IGindeksgrny"/>
        </w:rPr>
        <w:t>)</w:t>
      </w:r>
      <w:r w:rsidR="00664EB3" w:rsidRPr="00D76D3C">
        <w:t>) zarządza się, co następuje:</w:t>
      </w:r>
    </w:p>
    <w:p w14:paraId="347906D3" w14:textId="77777777" w:rsidR="00664EB3" w:rsidRPr="00D76D3C" w:rsidRDefault="00664EB3" w:rsidP="00DB2A51">
      <w:pPr>
        <w:pStyle w:val="ARTartustawynprozporzdzenia"/>
      </w:pPr>
      <w:r w:rsidRPr="00664EB3">
        <w:rPr>
          <w:rStyle w:val="Ppogrubienie"/>
        </w:rPr>
        <w:t>§ 1.</w:t>
      </w:r>
      <w:r w:rsidR="00931254">
        <w:tab/>
      </w:r>
      <w:r w:rsidRPr="00D76D3C">
        <w:t>Rozporządzenie określa</w:t>
      </w:r>
      <w:r w:rsidR="0037360E">
        <w:t xml:space="preserve"> sposób i tryb prowadzenia oraz</w:t>
      </w:r>
      <w:r w:rsidR="00BE7569" w:rsidRPr="00BE7569">
        <w:t xml:space="preserve"> udostępniania</w:t>
      </w:r>
      <w:r w:rsidR="0037360E">
        <w:t xml:space="preserve"> uczestnikom postępowania upadłościowego oraz służbie nadzoru Ministra </w:t>
      </w:r>
      <w:r w:rsidR="00B25F0E">
        <w:t>Sprawiedliwości</w:t>
      </w:r>
      <w:r w:rsidR="0037360E">
        <w:t xml:space="preserve"> </w:t>
      </w:r>
      <w:r w:rsidR="00B25F0E">
        <w:t xml:space="preserve">akt do zgłoszeń wierzytelności </w:t>
      </w:r>
      <w:r w:rsidRPr="00D76D3C">
        <w:t xml:space="preserve">w postępowaniu </w:t>
      </w:r>
      <w:r w:rsidR="00BE7569">
        <w:t xml:space="preserve">prowadzonym </w:t>
      </w:r>
      <w:r w:rsidR="00B25F0E">
        <w:t xml:space="preserve">przez syndyka </w:t>
      </w:r>
      <w:r w:rsidR="00BE7569">
        <w:t xml:space="preserve">na podstawie </w:t>
      </w:r>
      <w:r w:rsidR="00576BE9">
        <w:t xml:space="preserve">przepisów </w:t>
      </w:r>
      <w:r w:rsidR="00BE7569" w:rsidRPr="00D76D3C">
        <w:t xml:space="preserve">ustawy </w:t>
      </w:r>
      <w:r w:rsidR="00BE7569">
        <w:t xml:space="preserve">z dnia 28 lutego 2003 r. </w:t>
      </w:r>
      <w:r w:rsidR="00BE7569" w:rsidRPr="00D76D3C">
        <w:t>– Prawo upadłościowe</w:t>
      </w:r>
      <w:r w:rsidR="000B61F4">
        <w:t>.</w:t>
      </w:r>
    </w:p>
    <w:p w14:paraId="2207A67E" w14:textId="77777777" w:rsidR="00664EB3" w:rsidRDefault="00664EB3" w:rsidP="00664EB3">
      <w:pPr>
        <w:pStyle w:val="ARTartustawynprozporzdzenia"/>
      </w:pPr>
      <w:r w:rsidRPr="00664EB3">
        <w:rPr>
          <w:rStyle w:val="Ppogrubienie"/>
        </w:rPr>
        <w:t>§ 2.</w:t>
      </w:r>
      <w:r>
        <w:t> </w:t>
      </w:r>
      <w:r w:rsidR="00931254">
        <w:t>1.</w:t>
      </w:r>
      <w:r w:rsidR="00931254">
        <w:tab/>
      </w:r>
      <w:r w:rsidR="00666A89">
        <w:t>Do każdego postępowania upadłościowego s</w:t>
      </w:r>
      <w:r w:rsidRPr="00D76D3C">
        <w:t>yndyk</w:t>
      </w:r>
      <w:r w:rsidR="00AF21F1">
        <w:t xml:space="preserve"> </w:t>
      </w:r>
      <w:r w:rsidRPr="00D76D3C">
        <w:t xml:space="preserve">zakłada </w:t>
      </w:r>
      <w:r w:rsidR="00666A89">
        <w:t xml:space="preserve">odrębne </w:t>
      </w:r>
      <w:r w:rsidRPr="00D76D3C">
        <w:t>akta</w:t>
      </w:r>
      <w:r w:rsidR="00AF21F1" w:rsidRPr="00AF21F1">
        <w:t xml:space="preserve"> </w:t>
      </w:r>
      <w:r w:rsidR="00AF21F1" w:rsidRPr="00D76D3C">
        <w:t>do zgłoszeń wierzytelności najpóźniej w dniu otrzymania pierwszego zgłoszenia wierzytelności.</w:t>
      </w:r>
      <w:r w:rsidRPr="00D76D3C">
        <w:t xml:space="preserve"> </w:t>
      </w:r>
    </w:p>
    <w:p w14:paraId="1A8B0173" w14:textId="77777777" w:rsidR="00666A89" w:rsidRDefault="00664EB3" w:rsidP="00664EB3">
      <w:pPr>
        <w:pStyle w:val="USTustnpkodeksu"/>
      </w:pPr>
      <w:r w:rsidRPr="00D76D3C">
        <w:t>2.</w:t>
      </w:r>
      <w:r w:rsidR="00931254">
        <w:tab/>
      </w:r>
      <w:r w:rsidR="00666A89">
        <w:t>Akta do zgłoszeń wierzytelności składają się ze spisu zgłoszeń wierzytelności oraz zgłoszeń wierzytelności umiesz</w:t>
      </w:r>
      <w:r w:rsidR="00B16923">
        <w:t>cz</w:t>
      </w:r>
      <w:r w:rsidR="00666A89">
        <w:t>onych w skoroszytach</w:t>
      </w:r>
      <w:r w:rsidR="00C11CE0">
        <w:t xml:space="preserve">, </w:t>
      </w:r>
      <w:r w:rsidR="00666A89">
        <w:t>teczkach</w:t>
      </w:r>
      <w:r w:rsidR="00C11CE0">
        <w:t xml:space="preserve"> lub aktach pomocniczych</w:t>
      </w:r>
      <w:r w:rsidR="00666A89">
        <w:t xml:space="preserve">. </w:t>
      </w:r>
    </w:p>
    <w:p w14:paraId="61C34BCD" w14:textId="77777777" w:rsidR="00AC7511" w:rsidRDefault="0035783F" w:rsidP="00AC7511">
      <w:pPr>
        <w:pStyle w:val="USTustnpkodeksu"/>
      </w:pPr>
      <w:r>
        <w:t xml:space="preserve">3. W spisie </w:t>
      </w:r>
      <w:r w:rsidR="00C11CE0">
        <w:t xml:space="preserve">zgłoszeń </w:t>
      </w:r>
      <w:r>
        <w:t xml:space="preserve">wierzytelności odnotowuje się liczbę porządkową, datę wpływu i określenie wierzyciela, datę </w:t>
      </w:r>
      <w:r w:rsidR="006B5F9F">
        <w:t xml:space="preserve">wydania </w:t>
      </w:r>
      <w:r>
        <w:t xml:space="preserve">zarządzenia wzywającego do uzupełnienia braków, datę </w:t>
      </w:r>
      <w:r w:rsidR="006B5F9F">
        <w:t xml:space="preserve">wydania i doręczenia </w:t>
      </w:r>
      <w:r>
        <w:t>zarządzenia o zwrocie zgłoszenia</w:t>
      </w:r>
      <w:r w:rsidR="00693A8A">
        <w:t>, datę wpływu skargi na zarządzenie o zwrocie zgłoszenia</w:t>
      </w:r>
      <w:r w:rsidR="00B846BF">
        <w:t xml:space="preserve">, </w:t>
      </w:r>
      <w:r w:rsidR="006F1420">
        <w:t xml:space="preserve">datę przekazania skargi </w:t>
      </w:r>
      <w:r w:rsidR="00E14CED">
        <w:t>sędziemu komisarzowi</w:t>
      </w:r>
      <w:r w:rsidR="006F1420">
        <w:t xml:space="preserve">, </w:t>
      </w:r>
      <w:r w:rsidR="00B846BF">
        <w:t>datę</w:t>
      </w:r>
      <w:r w:rsidR="00505AEA">
        <w:t xml:space="preserve"> </w:t>
      </w:r>
      <w:r>
        <w:t>obwieszczenia w Monitorze Sądowym i Gospodarczym</w:t>
      </w:r>
      <w:r w:rsidR="005E5BBC">
        <w:t xml:space="preserve"> o przekazaniu listy wierzytelności sędziemu</w:t>
      </w:r>
      <w:r w:rsidR="00335DFE">
        <w:t>–</w:t>
      </w:r>
      <w:r w:rsidR="005E5BBC">
        <w:t>komisarzowi</w:t>
      </w:r>
      <w:r w:rsidR="0012412D">
        <w:t xml:space="preserve"> oraz uwagi</w:t>
      </w:r>
      <w:r w:rsidR="00AC7511">
        <w:t>.</w:t>
      </w:r>
    </w:p>
    <w:p w14:paraId="1C3FEC10" w14:textId="77777777" w:rsidR="00210CB5" w:rsidRDefault="00E277AB" w:rsidP="00D21D86">
      <w:pPr>
        <w:pStyle w:val="USTustnpkodeksu"/>
      </w:pPr>
      <w:r>
        <w:t xml:space="preserve">4. </w:t>
      </w:r>
      <w:r w:rsidR="00666A89">
        <w:t xml:space="preserve">Zgłoszenia wierzytelności </w:t>
      </w:r>
      <w:r w:rsidR="006B5F9F">
        <w:t xml:space="preserve">są </w:t>
      </w:r>
      <w:r w:rsidR="00666A89">
        <w:t>wpinane kolejno do skoroszytów lub układane w teczkach oznaczonych sygnaturą akt, kolejnym rzymskim num</w:t>
      </w:r>
      <w:r w:rsidR="005F471D">
        <w:t>erem s</w:t>
      </w:r>
      <w:r w:rsidR="00D21D86">
        <w:t xml:space="preserve">koroszytu lub teczki, symbolem </w:t>
      </w:r>
      <w:r w:rsidR="00D21D86">
        <w:lastRenderedPageBreak/>
        <w:t>"</w:t>
      </w:r>
      <w:r w:rsidR="005F471D">
        <w:t>Zw.</w:t>
      </w:r>
      <w:r w:rsidR="00D21D86">
        <w:t>"</w:t>
      </w:r>
      <w:r w:rsidR="005F471D">
        <w:t xml:space="preserve"> oraz liczbą zgłoszeń</w:t>
      </w:r>
      <w:r w:rsidR="00CD771E">
        <w:t>.</w:t>
      </w:r>
      <w:r w:rsidR="00505AEA">
        <w:t xml:space="preserve"> </w:t>
      </w:r>
      <w:r w:rsidR="00CD771E">
        <w:t>N</w:t>
      </w:r>
      <w:r w:rsidR="00505AEA">
        <w:t>umer kolejnego zgłoszenia odnotowuje się w prawym górnym rogu jego pierwszej strony.</w:t>
      </w:r>
      <w:r w:rsidR="00210CB5" w:rsidRPr="00210CB5">
        <w:t xml:space="preserve"> </w:t>
      </w:r>
    </w:p>
    <w:p w14:paraId="5B4FED90" w14:textId="77777777" w:rsidR="00E14CED" w:rsidRDefault="00E277AB" w:rsidP="00D21D86">
      <w:pPr>
        <w:pStyle w:val="USTustnpkodeksu"/>
      </w:pPr>
      <w:r>
        <w:t xml:space="preserve">5. </w:t>
      </w:r>
      <w:r w:rsidR="00210CB5" w:rsidRPr="00210CB5">
        <w:t xml:space="preserve">Pisma </w:t>
      </w:r>
      <w:r w:rsidR="00210CB5">
        <w:t xml:space="preserve">dotyczące zgłoszenia wierzytelności dołącza się do akt </w:t>
      </w:r>
      <w:r w:rsidR="00141444">
        <w:t xml:space="preserve">do zgłoszeń </w:t>
      </w:r>
      <w:r w:rsidR="00210CB5">
        <w:t>wierzytelności</w:t>
      </w:r>
      <w:r w:rsidR="00210CB5" w:rsidRPr="00210CB5">
        <w:t xml:space="preserve"> w kolejności wpływu</w:t>
      </w:r>
      <w:r w:rsidR="00E14CED">
        <w:t>.</w:t>
      </w:r>
    </w:p>
    <w:p w14:paraId="24599FA8" w14:textId="77777777" w:rsidR="00E14CED" w:rsidRDefault="00E14CED" w:rsidP="00E14CED">
      <w:pPr>
        <w:pStyle w:val="USTustnpkodeksu"/>
      </w:pPr>
      <w:r>
        <w:t>6.</w:t>
      </w:r>
      <w:r w:rsidR="0098031F">
        <w:t xml:space="preserve"> </w:t>
      </w:r>
      <w:r>
        <w:t xml:space="preserve">  Kopertę,</w:t>
      </w:r>
      <w:r w:rsidRPr="0098031F">
        <w:t xml:space="preserve"> w której nadesłano zgłoszenie</w:t>
      </w:r>
      <w:r>
        <w:t xml:space="preserve"> wierzytelności, załącza się do akt.</w:t>
      </w:r>
    </w:p>
    <w:p w14:paraId="1D4EAA8D" w14:textId="77777777" w:rsidR="00210CB5" w:rsidRPr="00210CB5" w:rsidRDefault="00E14CED" w:rsidP="00E14CED">
      <w:pPr>
        <w:pStyle w:val="USTustnpkodeksu"/>
      </w:pPr>
      <w:r>
        <w:t>7. K</w:t>
      </w:r>
      <w:r w:rsidR="002102BB">
        <w:t>operty</w:t>
      </w:r>
      <w:r w:rsidR="00CD771E">
        <w:t>,</w:t>
      </w:r>
      <w:r w:rsidR="002102BB">
        <w:t xml:space="preserve"> w których nadesłano inne pisma dotyczące zgłoszenia wierzytelności </w:t>
      </w:r>
      <w:r w:rsidR="00210CB5" w:rsidRPr="00210CB5">
        <w:t>dołącza się tylko wówczas, gdy data stempla pocztowego stanowi podstawę ustalenia terminu, z którego upływem wiążą się określone skutki procesowe.</w:t>
      </w:r>
    </w:p>
    <w:p w14:paraId="6DF1B7BD" w14:textId="598716D5" w:rsidR="003319B7" w:rsidRPr="003319B7" w:rsidRDefault="008401FD" w:rsidP="00CA7851">
      <w:pPr>
        <w:pStyle w:val="ARTartustawynprozporzdzenia"/>
      </w:pPr>
      <w:r w:rsidRPr="00F77066">
        <w:rPr>
          <w:rStyle w:val="Ppogrubienie"/>
        </w:rPr>
        <w:t xml:space="preserve">§ </w:t>
      </w:r>
      <w:r w:rsidR="00852799">
        <w:rPr>
          <w:rStyle w:val="Ppogrubienie"/>
        </w:rPr>
        <w:t>3</w:t>
      </w:r>
      <w:r w:rsidRPr="00F77066">
        <w:rPr>
          <w:rStyle w:val="Ppogrubienie"/>
        </w:rPr>
        <w:t>.</w:t>
      </w:r>
      <w:r>
        <w:t xml:space="preserve"> </w:t>
      </w:r>
      <w:r w:rsidR="003319B7" w:rsidRPr="003319B7">
        <w:t>Pisma uzupełniające, zmieniające, cofające zgłoszenie już odnotowane oraz stanowiące wykonanie wezwania syndyka</w:t>
      </w:r>
      <w:r w:rsidR="00CD771E">
        <w:t>,</w:t>
      </w:r>
      <w:r w:rsidR="003319B7" w:rsidRPr="003319B7">
        <w:t xml:space="preserve"> o którym mowa w art. 243 ust. 2 </w:t>
      </w:r>
      <w:r w:rsidR="00D66DCE" w:rsidRPr="00D66DCE">
        <w:t>ustawy z dnia 28 lutego 2003 r. – Prawo upadłościowe</w:t>
      </w:r>
      <w:r w:rsidR="00CD771E">
        <w:t>,</w:t>
      </w:r>
      <w:r w:rsidR="003319B7" w:rsidRPr="003319B7">
        <w:t xml:space="preserve"> odnotowuje </w:t>
      </w:r>
      <w:r w:rsidR="00CD771E">
        <w:t>si</w:t>
      </w:r>
      <w:r w:rsidR="00141444">
        <w:t>ę</w:t>
      </w:r>
      <w:r w:rsidR="00CD771E">
        <w:t xml:space="preserve"> </w:t>
      </w:r>
      <w:r w:rsidR="003319B7" w:rsidRPr="003319B7">
        <w:t xml:space="preserve">w spisie wierzytelności w rubryce "uwagi" z podaniem daty wpływu oraz oznaczeniem numeru zgłoszenia wierzytelności </w:t>
      </w:r>
      <w:r w:rsidR="00CC520E">
        <w:br/>
      </w:r>
      <w:r w:rsidR="003319B7" w:rsidRPr="003319B7">
        <w:t xml:space="preserve">i liczby rzymskiej skoroszytu lub teczki, w </w:t>
      </w:r>
      <w:r w:rsidR="00CD771E">
        <w:t>których</w:t>
      </w:r>
      <w:r w:rsidR="00CD771E" w:rsidRPr="003319B7">
        <w:t xml:space="preserve"> </w:t>
      </w:r>
      <w:r w:rsidR="003319B7" w:rsidRPr="003319B7">
        <w:t>znajduje się zgłoszenie, którego dotyczy pismo.</w:t>
      </w:r>
    </w:p>
    <w:p w14:paraId="6D22C9AA" w14:textId="70A580F2" w:rsidR="00C11CE0" w:rsidRDefault="00B75580" w:rsidP="00CA7851">
      <w:pPr>
        <w:pStyle w:val="ARTartustawynprozporzdzenia"/>
      </w:pPr>
      <w:r w:rsidRPr="00F77066">
        <w:rPr>
          <w:rStyle w:val="Ppogrubienie"/>
        </w:rPr>
        <w:t xml:space="preserve">§ </w:t>
      </w:r>
      <w:r w:rsidR="00852799">
        <w:rPr>
          <w:rStyle w:val="Ppogrubienie"/>
        </w:rPr>
        <w:t>4</w:t>
      </w:r>
      <w:r w:rsidRPr="00F77066">
        <w:rPr>
          <w:rStyle w:val="Ppogrubienie"/>
        </w:rPr>
        <w:t>.</w:t>
      </w:r>
      <w:r>
        <w:t xml:space="preserve"> 1. </w:t>
      </w:r>
      <w:r w:rsidR="00E66A56">
        <w:t>Dla</w:t>
      </w:r>
      <w:r w:rsidR="00C11CE0">
        <w:t xml:space="preserve"> zgłoszeń wierzytelności, co do których wpłynęła skarga na zwrot zgłoszenia wierzytelności, </w:t>
      </w:r>
      <w:r w:rsidR="00E66A56">
        <w:t xml:space="preserve">wezwano do złożenia dokumentów w trybie art. 243 ust. 2 </w:t>
      </w:r>
      <w:r w:rsidR="00CC520E" w:rsidRPr="00CC520E">
        <w:t>ustawy z dnia 28 lutego 2003 r. – Prawo upadłościowe</w:t>
      </w:r>
      <w:r w:rsidR="00CC520E" w:rsidRPr="00CC520E" w:rsidDel="00CC520E">
        <w:t xml:space="preserve"> </w:t>
      </w:r>
      <w:r w:rsidR="00141444">
        <w:t xml:space="preserve">albo </w:t>
      </w:r>
      <w:r w:rsidR="00E66A56">
        <w:t xml:space="preserve">złożono sprzeciw lub zażalenie w trybie art. 262 ust. 2 </w:t>
      </w:r>
      <w:r w:rsidR="00CC520E" w:rsidRPr="00CC520E">
        <w:t>ustawy z dnia 28 lutego 2003 r. – Prawo upadłościowe</w:t>
      </w:r>
      <w:r w:rsidR="00CD771E">
        <w:t>,</w:t>
      </w:r>
      <w:r w:rsidR="00E66A56">
        <w:t xml:space="preserve"> zakłada się akta pomocnicze</w:t>
      </w:r>
      <w:r w:rsidR="000F0EEE">
        <w:t>.</w:t>
      </w:r>
    </w:p>
    <w:p w14:paraId="6A9F7046" w14:textId="77777777" w:rsidR="00291D78" w:rsidRDefault="00291D78" w:rsidP="00CA7851">
      <w:pPr>
        <w:pStyle w:val="ARTartustawynprozporzdzenia"/>
      </w:pPr>
      <w:r>
        <w:t xml:space="preserve">2. </w:t>
      </w:r>
      <w:r w:rsidRPr="00291D78">
        <w:t>W aktach, o których mowa w ust. 1, gromadzi się całość dokumentacji postępowania dotyczącego zgłoszenia wierzytelności</w:t>
      </w:r>
      <w:r w:rsidR="004F06D9">
        <w:t>.</w:t>
      </w:r>
    </w:p>
    <w:p w14:paraId="01A30E77" w14:textId="77777777" w:rsidR="00AC7511" w:rsidRDefault="007234BA" w:rsidP="00CA7851">
      <w:pPr>
        <w:pStyle w:val="ARTartustawynprozporzdzenia"/>
      </w:pPr>
      <w:r w:rsidRPr="00770BF7">
        <w:rPr>
          <w:rStyle w:val="Ppogrubienie"/>
        </w:rPr>
        <w:t xml:space="preserve">§ </w:t>
      </w:r>
      <w:r w:rsidR="00852799">
        <w:rPr>
          <w:rStyle w:val="Ppogrubienie"/>
        </w:rPr>
        <w:t>5</w:t>
      </w:r>
      <w:r w:rsidRPr="00770BF7">
        <w:rPr>
          <w:rStyle w:val="Ppogrubienie"/>
        </w:rPr>
        <w:t>.</w:t>
      </w:r>
      <w:r>
        <w:t xml:space="preserve"> </w:t>
      </w:r>
      <w:r w:rsidR="00AC7511">
        <w:t xml:space="preserve">W przypadku przyjęcia zgłoszenia </w:t>
      </w:r>
      <w:r w:rsidR="00E14CED">
        <w:t>przez</w:t>
      </w:r>
      <w:r w:rsidR="00AC7511">
        <w:t xml:space="preserve"> syndyka lub osob</w:t>
      </w:r>
      <w:r w:rsidR="00E14CED">
        <w:t>ę</w:t>
      </w:r>
      <w:r w:rsidR="00AC7511">
        <w:t xml:space="preserve"> przez niego upoważnion</w:t>
      </w:r>
      <w:r w:rsidR="00E14CED">
        <w:t>ą</w:t>
      </w:r>
      <w:r w:rsidR="00AC7511">
        <w:t xml:space="preserve"> na zgłoszeniu umieszcza się adnotację o dacie </w:t>
      </w:r>
      <w:r w:rsidR="00E14CED">
        <w:t>przyjęcia</w:t>
      </w:r>
      <w:r w:rsidR="00AC7511">
        <w:t xml:space="preserve">. </w:t>
      </w:r>
    </w:p>
    <w:p w14:paraId="676EA752" w14:textId="77777777" w:rsidR="00AC7511" w:rsidRDefault="00082188" w:rsidP="00CA7851">
      <w:pPr>
        <w:pStyle w:val="ARTartustawynprozporzdzenia"/>
      </w:pPr>
      <w:r w:rsidRPr="00770BF7">
        <w:rPr>
          <w:rStyle w:val="Ppogrubienie"/>
        </w:rPr>
        <w:t>§</w:t>
      </w:r>
      <w:r w:rsidR="00770BF7">
        <w:rPr>
          <w:rStyle w:val="Ppogrubienie"/>
        </w:rPr>
        <w:t xml:space="preserve"> </w:t>
      </w:r>
      <w:r w:rsidR="00852799">
        <w:rPr>
          <w:rStyle w:val="Ppogrubienie"/>
        </w:rPr>
        <w:t>6</w:t>
      </w:r>
      <w:r w:rsidRPr="00770BF7">
        <w:rPr>
          <w:rStyle w:val="Ppogrubienie"/>
        </w:rPr>
        <w:t>.</w:t>
      </w:r>
      <w:r>
        <w:t xml:space="preserve"> 1. </w:t>
      </w:r>
      <w:r w:rsidR="00AC7511">
        <w:t>W przypadku zgłoszenia skargi</w:t>
      </w:r>
      <w:r w:rsidR="00937113">
        <w:t xml:space="preserve"> syndyk</w:t>
      </w:r>
      <w:r w:rsidR="00141444">
        <w:t>,</w:t>
      </w:r>
      <w:r w:rsidR="00937113">
        <w:t xml:space="preserve"> w terminie trzech dni od jej otrzymania, przekazuje sędziemu</w:t>
      </w:r>
      <w:r w:rsidR="00335DFE">
        <w:t>–</w:t>
      </w:r>
      <w:r w:rsidR="00937113">
        <w:t xml:space="preserve">komisarzowi skargę wraz ze zgłoszeniem wierzytelności oraz z odpisem zarządzenia o zwrocie zgłoszenia wierzytelności, chyba że skargę w całości uwzględnia. O uwzględnieniu skargi syndyk zawiadamia skarżącego. </w:t>
      </w:r>
    </w:p>
    <w:p w14:paraId="1B15E88F" w14:textId="34854D99" w:rsidR="00082188" w:rsidRDefault="00082188" w:rsidP="00CA7851">
      <w:pPr>
        <w:pStyle w:val="ARTartustawynprozporzdzenia"/>
      </w:pPr>
      <w:r>
        <w:t xml:space="preserve">2. </w:t>
      </w:r>
      <w:r w:rsidR="00937113">
        <w:t>Syndyk przedkłada sędziemu</w:t>
      </w:r>
      <w:r w:rsidR="00335DFE">
        <w:t>–</w:t>
      </w:r>
      <w:r w:rsidR="00937113">
        <w:t>komisarzowi zgłosze</w:t>
      </w:r>
      <w:r w:rsidR="00C11CE0">
        <w:t>nia</w:t>
      </w:r>
      <w:r w:rsidR="00937113">
        <w:t xml:space="preserve"> wierzytelności, których dotyczy sprzeciw</w:t>
      </w:r>
      <w:r w:rsidR="00CD771E">
        <w:t>,</w:t>
      </w:r>
      <w:r w:rsidR="00937113">
        <w:t xml:space="preserve"> po doręczeniu mu odpisu sprzeciwu</w:t>
      </w:r>
      <w:r w:rsidR="00CD771E">
        <w:t>,</w:t>
      </w:r>
      <w:r w:rsidR="00937113">
        <w:t xml:space="preserve"> o którym mowa w art. 258a</w:t>
      </w:r>
      <w:r w:rsidR="00CD771E">
        <w:t xml:space="preserve"> </w:t>
      </w:r>
      <w:r w:rsidR="0061122B" w:rsidRPr="0061122B">
        <w:t xml:space="preserve">ustawy </w:t>
      </w:r>
      <w:r w:rsidR="0061122B">
        <w:br/>
      </w:r>
      <w:r w:rsidR="0061122B" w:rsidRPr="0061122B">
        <w:t>z dnia 28 lutego 2003 r. – Prawo upadłościowe</w:t>
      </w:r>
      <w:r w:rsidR="00937113">
        <w:t>, chyba że sędzia</w:t>
      </w:r>
      <w:r w:rsidR="00335DFE">
        <w:t>–</w:t>
      </w:r>
      <w:r w:rsidR="00937113">
        <w:t xml:space="preserve">komisarz wcześniej wezwał syndyka do </w:t>
      </w:r>
      <w:r w:rsidR="005D4664">
        <w:t xml:space="preserve">ich </w:t>
      </w:r>
      <w:r w:rsidR="00225725">
        <w:t>przedstawienia</w:t>
      </w:r>
      <w:r w:rsidR="00937113">
        <w:t>.</w:t>
      </w:r>
      <w:r w:rsidR="00C11CE0">
        <w:t xml:space="preserve"> </w:t>
      </w:r>
      <w:r w:rsidR="00937113">
        <w:t xml:space="preserve"> </w:t>
      </w:r>
    </w:p>
    <w:p w14:paraId="328766E1" w14:textId="77777777" w:rsidR="00385BC1" w:rsidRDefault="00082188" w:rsidP="00CA7851">
      <w:pPr>
        <w:pStyle w:val="ARTartustawynprozporzdzenia"/>
      </w:pPr>
      <w:r>
        <w:lastRenderedPageBreak/>
        <w:t xml:space="preserve">3. </w:t>
      </w:r>
      <w:r w:rsidR="00937113">
        <w:t>Po prawomocnym rozpoznaniu skargi lub sprzeciwu, sędzia</w:t>
      </w:r>
      <w:r w:rsidR="00335DFE">
        <w:t>–</w:t>
      </w:r>
      <w:r w:rsidR="00937113">
        <w:t xml:space="preserve">komisarz </w:t>
      </w:r>
      <w:r w:rsidR="005E5BBC">
        <w:t xml:space="preserve">może </w:t>
      </w:r>
      <w:r w:rsidR="00937113">
        <w:t>zwr</w:t>
      </w:r>
      <w:r w:rsidR="005E5BBC">
        <w:t>ócić</w:t>
      </w:r>
      <w:r w:rsidR="00937113">
        <w:t xml:space="preserve"> syndykowi zgłoszenia wierzytelności, przekazane</w:t>
      </w:r>
      <w:r w:rsidR="00CF501D">
        <w:t xml:space="preserve"> w związku z rozpoznaniem sprzeciwu.</w:t>
      </w:r>
      <w:r w:rsidR="00937113">
        <w:t xml:space="preserve"> </w:t>
      </w:r>
    </w:p>
    <w:p w14:paraId="0F8290AB" w14:textId="77777777" w:rsidR="00C3777A" w:rsidRDefault="00C663FF" w:rsidP="00CA7851">
      <w:pPr>
        <w:pStyle w:val="ARTartustawynprozporzdzenia"/>
      </w:pPr>
      <w:r w:rsidRPr="008738BE">
        <w:rPr>
          <w:rStyle w:val="Ppogrubienie"/>
        </w:rPr>
        <w:t xml:space="preserve">§ </w:t>
      </w:r>
      <w:r w:rsidR="00852799">
        <w:rPr>
          <w:rStyle w:val="Ppogrubienie"/>
        </w:rPr>
        <w:t>7</w:t>
      </w:r>
      <w:r w:rsidRPr="008738BE">
        <w:rPr>
          <w:rStyle w:val="Ppogrubienie"/>
        </w:rPr>
        <w:t>.</w:t>
      </w:r>
      <w:r>
        <w:t xml:space="preserve"> </w:t>
      </w:r>
      <w:r w:rsidR="0035783F">
        <w:t>W przypadku złożenia dodatkowego zgłoszenia</w:t>
      </w:r>
      <w:r>
        <w:t xml:space="preserve"> wierzytelności</w:t>
      </w:r>
      <w:r w:rsidR="0035783F">
        <w:t xml:space="preserve"> po ustaleniu listy wierzytelności uzupełniające zgłoszenie tego wierzyciela odnotowuje się pod nową liczbą porządkową </w:t>
      </w:r>
      <w:r w:rsidR="00CD771E">
        <w:t>wraz z</w:t>
      </w:r>
      <w:r w:rsidR="0035783F">
        <w:t xml:space="preserve"> </w:t>
      </w:r>
      <w:r w:rsidR="00CD771E">
        <w:t xml:space="preserve">podaniem </w:t>
      </w:r>
      <w:r w:rsidR="0035783F">
        <w:t xml:space="preserve">w nawiasie </w:t>
      </w:r>
      <w:r w:rsidR="00CD771E">
        <w:t xml:space="preserve">liczby porządkowej nadanej </w:t>
      </w:r>
      <w:r w:rsidR="0035783F">
        <w:t xml:space="preserve">pierwszemu zgłoszeniu. </w:t>
      </w:r>
    </w:p>
    <w:p w14:paraId="4E2BDBE8" w14:textId="78FEA811" w:rsidR="003821FE" w:rsidRDefault="00C3777A" w:rsidP="003821FE">
      <w:pPr>
        <w:pStyle w:val="ARTartustawynprozporzdzenia"/>
      </w:pPr>
      <w:r w:rsidRPr="008738BE">
        <w:rPr>
          <w:rStyle w:val="Ppogrubienie"/>
        </w:rPr>
        <w:t xml:space="preserve">§ </w:t>
      </w:r>
      <w:r w:rsidR="00852799">
        <w:rPr>
          <w:rStyle w:val="Ppogrubienie"/>
        </w:rPr>
        <w:t>8</w:t>
      </w:r>
      <w:r w:rsidR="00CD771E">
        <w:rPr>
          <w:rStyle w:val="Ppogrubienie"/>
        </w:rPr>
        <w:t>.</w:t>
      </w:r>
      <w:r>
        <w:t xml:space="preserve"> </w:t>
      </w:r>
      <w:r w:rsidR="003821FE">
        <w:t xml:space="preserve">W przypadku złożenia wniosku w trybie art. 266 </w:t>
      </w:r>
      <w:r w:rsidR="00847951" w:rsidRPr="00847951">
        <w:t xml:space="preserve">ustawy z dnia 28 lutego 2003 r. </w:t>
      </w:r>
      <w:r w:rsidR="00847951">
        <w:br/>
      </w:r>
      <w:r w:rsidR="00847951" w:rsidRPr="00847951">
        <w:t>– Prawo upadłościowe</w:t>
      </w:r>
      <w:r w:rsidR="00847951" w:rsidRPr="00847951" w:rsidDel="00847951">
        <w:t xml:space="preserve"> </w:t>
      </w:r>
      <w:r w:rsidR="003821FE">
        <w:t xml:space="preserve">w trakcie postępowania upadłościowego wydanie dokumentów wierzycielowi następuje po przekazaniu dokumentów do akt postępowania prowadzonych </w:t>
      </w:r>
      <w:r w:rsidR="00847951">
        <w:br/>
      </w:r>
      <w:r w:rsidR="003821FE">
        <w:t xml:space="preserve">w sądzie upadłościowym, w trybie </w:t>
      </w:r>
      <w:r w:rsidR="003821FE" w:rsidRPr="003821FE">
        <w:t>§</w:t>
      </w:r>
      <w:r w:rsidR="003821FE">
        <w:t xml:space="preserve"> 10 ust. 2. </w:t>
      </w:r>
    </w:p>
    <w:p w14:paraId="2DE3CBD6" w14:textId="3EC634B3" w:rsidR="00176EA7" w:rsidRDefault="00176EA7" w:rsidP="00EE5A71">
      <w:pPr>
        <w:pStyle w:val="ARTartustawynprozporzdzenia"/>
      </w:pPr>
      <w:r w:rsidRPr="00381A03">
        <w:rPr>
          <w:rStyle w:val="Ppogrubienie"/>
        </w:rPr>
        <w:t>§ </w:t>
      </w:r>
      <w:r w:rsidR="00852799">
        <w:rPr>
          <w:rStyle w:val="Ppogrubienie"/>
        </w:rPr>
        <w:t>9</w:t>
      </w:r>
      <w:r w:rsidRPr="00381A03">
        <w:rPr>
          <w:rStyle w:val="Ppogrubienie"/>
        </w:rPr>
        <w:t>. </w:t>
      </w:r>
      <w:r w:rsidR="00EE5A71">
        <w:t xml:space="preserve">1. </w:t>
      </w:r>
      <w:r w:rsidRPr="00176EA7">
        <w:t xml:space="preserve">Akta </w:t>
      </w:r>
      <w:r w:rsidR="005F5569">
        <w:t xml:space="preserve">do </w:t>
      </w:r>
      <w:r w:rsidR="005F5569" w:rsidRPr="00176EA7">
        <w:t>zgłosze</w:t>
      </w:r>
      <w:r w:rsidR="005F5569">
        <w:t>ń</w:t>
      </w:r>
      <w:r w:rsidR="005F5569" w:rsidRPr="00176EA7">
        <w:t xml:space="preserve"> </w:t>
      </w:r>
      <w:r w:rsidRPr="00176EA7">
        <w:t>wierzytelności udostępnia się w biurze syndyka</w:t>
      </w:r>
      <w:r w:rsidR="004E217A">
        <w:t xml:space="preserve"> służbie nadzoru Ministra Sprawiedliwości,</w:t>
      </w:r>
      <w:r w:rsidRPr="00176EA7">
        <w:t xml:space="preserve"> uczestnikom postępowania oraz każdemu, kto potrzebę ich przejrzenia dostatecznie usprawiedliwi, po ustaleniu tożsamości osoby, której akta mają być udostępnione. </w:t>
      </w:r>
      <w:r w:rsidR="00141444" w:rsidRPr="00176EA7">
        <w:t>Osob</w:t>
      </w:r>
      <w:r w:rsidR="00141444">
        <w:t>a</w:t>
      </w:r>
      <w:r w:rsidR="00141444" w:rsidRPr="00176EA7">
        <w:t xml:space="preserve"> t</w:t>
      </w:r>
      <w:r w:rsidR="00141444">
        <w:t>a</w:t>
      </w:r>
      <w:r w:rsidR="00141444" w:rsidRPr="00176EA7">
        <w:t xml:space="preserve"> </w:t>
      </w:r>
      <w:r w:rsidR="00141444">
        <w:t>może</w:t>
      </w:r>
      <w:r w:rsidR="00141444" w:rsidRPr="00176EA7">
        <w:t xml:space="preserve"> </w:t>
      </w:r>
      <w:r w:rsidRPr="00176EA7">
        <w:t xml:space="preserve">otrzymać z akt odpisy i wyciągi oraz bez dodatkowych opłat sporządzać we własnym zakresie fotokopie. </w:t>
      </w:r>
    </w:p>
    <w:p w14:paraId="44539B24" w14:textId="77777777" w:rsidR="00AC5F06" w:rsidRPr="00176EA7" w:rsidRDefault="00AC5F06" w:rsidP="00AC5F06">
      <w:pPr>
        <w:pStyle w:val="ARTartustawynprozporzdzenia"/>
      </w:pPr>
      <w:r>
        <w:t xml:space="preserve">2. </w:t>
      </w:r>
      <w:r w:rsidRPr="006E55B3">
        <w:t xml:space="preserve"> Odpisy </w:t>
      </w:r>
      <w:r>
        <w:t xml:space="preserve">z akt </w:t>
      </w:r>
      <w:r w:rsidRPr="006E55B3">
        <w:t xml:space="preserve">powinny </w:t>
      </w:r>
      <w:r>
        <w:t xml:space="preserve">być </w:t>
      </w:r>
      <w:r w:rsidRPr="006E55B3">
        <w:t xml:space="preserve">odręcznie podpisane przez </w:t>
      </w:r>
      <w:r>
        <w:t>syndyka</w:t>
      </w:r>
      <w:r w:rsidRPr="006E55B3">
        <w:t xml:space="preserve"> albo osobę przez niego upoważnioną</w:t>
      </w:r>
      <w:r>
        <w:t xml:space="preserve"> i </w:t>
      </w:r>
      <w:r w:rsidRPr="006E55B3">
        <w:t>zawierać adnotację "odpis"</w:t>
      </w:r>
      <w:r>
        <w:t>, numer licencji syndyka oraz czytelne imię i nazwisko osoby podpisującej odpis</w:t>
      </w:r>
      <w:r w:rsidRPr="006E55B3">
        <w:t>.</w:t>
      </w:r>
      <w:r w:rsidRPr="00067C3E">
        <w:t xml:space="preserve"> </w:t>
      </w:r>
    </w:p>
    <w:p w14:paraId="170FA125" w14:textId="7F4DEC34" w:rsidR="00176EA7" w:rsidRDefault="00AC5F06" w:rsidP="00CA7851">
      <w:pPr>
        <w:pStyle w:val="ARTartustawynprozporzdzenia"/>
      </w:pPr>
      <w:r>
        <w:t>3</w:t>
      </w:r>
      <w:r w:rsidR="00176EA7" w:rsidRPr="00176EA7">
        <w:t xml:space="preserve">. Przeglądanie akt </w:t>
      </w:r>
      <w:r w:rsidR="005F5569">
        <w:t xml:space="preserve">do zgłoszeń </w:t>
      </w:r>
      <w:r w:rsidR="005A0777">
        <w:t>wierzytelności</w:t>
      </w:r>
      <w:r w:rsidR="00176EA7" w:rsidRPr="00176EA7">
        <w:t xml:space="preserve"> odbywa się pod kontrolą syndyka lub upoważnionej przez niego osoby</w:t>
      </w:r>
      <w:r>
        <w:t>,</w:t>
      </w:r>
      <w:r w:rsidRPr="00AC5F06">
        <w:t xml:space="preserve"> </w:t>
      </w:r>
      <w:r>
        <w:t>chyba że przeglądanie akt następuje w ramach czynności  nadzorczych, wykonywanych przez służbę nadzoru Ministra Sprawiedliwości</w:t>
      </w:r>
      <w:r w:rsidRPr="00176EA7">
        <w:t>.</w:t>
      </w:r>
      <w:r w:rsidR="00176EA7" w:rsidRPr="00176EA7">
        <w:t>.</w:t>
      </w:r>
    </w:p>
    <w:p w14:paraId="759693E3" w14:textId="397D19DD" w:rsidR="005A1CAF" w:rsidRPr="005A1CAF" w:rsidRDefault="002735EF" w:rsidP="005A1CAF">
      <w:pPr>
        <w:pStyle w:val="ARTartustawynprozporzdzenia"/>
      </w:pPr>
      <w:r>
        <w:rPr>
          <w:rStyle w:val="Ppogrubienie"/>
        </w:rPr>
        <w:t>§ 1</w:t>
      </w:r>
      <w:r w:rsidR="00852799">
        <w:rPr>
          <w:rStyle w:val="Ppogrubienie"/>
        </w:rPr>
        <w:t>0</w:t>
      </w:r>
      <w:r w:rsidR="005A0777" w:rsidRPr="005A0777">
        <w:rPr>
          <w:rStyle w:val="Ppogrubienie"/>
        </w:rPr>
        <w:t>.</w:t>
      </w:r>
      <w:r w:rsidR="005A0777" w:rsidRPr="005A0777">
        <w:t> </w:t>
      </w:r>
      <w:r w:rsidR="005A1CAF">
        <w:t>1</w:t>
      </w:r>
      <w:r w:rsidR="00193496">
        <w:t>.</w:t>
      </w:r>
      <w:r w:rsidR="005A1CAF" w:rsidRPr="005A1CAF">
        <w:t xml:space="preserve"> </w:t>
      </w:r>
      <w:r w:rsidR="005A1CAF" w:rsidRPr="0066490E">
        <w:t xml:space="preserve">Akta </w:t>
      </w:r>
      <w:r w:rsidR="007670DB">
        <w:t>do zgłoszeń wierzytelności</w:t>
      </w:r>
      <w:r w:rsidR="005A1CAF" w:rsidRPr="0066490E">
        <w:t xml:space="preserve"> syndyk przechowuje w pomieszczeniu biurowym do którego</w:t>
      </w:r>
      <w:r w:rsidR="005A1CAF">
        <w:rPr>
          <w:rStyle w:val="Ppogrubienie"/>
        </w:rPr>
        <w:t xml:space="preserve"> </w:t>
      </w:r>
      <w:r w:rsidR="005A1CAF" w:rsidRPr="0066490E">
        <w:t>dostęp ma wyłącznie syndyk oraz osoby przez niego upoważnione.  </w:t>
      </w:r>
      <w:r w:rsidR="005A1CAF">
        <w:t xml:space="preserve">O miejscu przechowywania akt syndyk informuje sąd prowadzący postępowanie. </w:t>
      </w:r>
    </w:p>
    <w:p w14:paraId="69945EA3" w14:textId="25F1A6E6" w:rsidR="005A0777" w:rsidRPr="005A0777" w:rsidRDefault="00B42BE0" w:rsidP="00CA7851">
      <w:pPr>
        <w:pStyle w:val="ARTartustawynprozporzdzenia"/>
      </w:pPr>
      <w:r>
        <w:t>2</w:t>
      </w:r>
      <w:r w:rsidR="005A0777" w:rsidRPr="005A0777">
        <w:t>.</w:t>
      </w:r>
      <w:r w:rsidR="005A0777" w:rsidRPr="005A0777">
        <w:tab/>
        <w:t xml:space="preserve">Syndyk udostępnia akta </w:t>
      </w:r>
      <w:r w:rsidR="003E08EA">
        <w:t xml:space="preserve">do </w:t>
      </w:r>
      <w:r w:rsidR="00EF781F">
        <w:t xml:space="preserve">zgłoszeń wierzytelności </w:t>
      </w:r>
      <w:r w:rsidR="005A0777" w:rsidRPr="005A0777">
        <w:t xml:space="preserve">poza </w:t>
      </w:r>
      <w:r w:rsidR="00341AD1">
        <w:t>biuro syndyka</w:t>
      </w:r>
      <w:r w:rsidR="007F2A59" w:rsidRPr="005A0777">
        <w:t xml:space="preserve"> </w:t>
      </w:r>
      <w:r w:rsidR="005A0777" w:rsidRPr="005A0777">
        <w:t>wyłącznie na wezwanie sądu</w:t>
      </w:r>
      <w:r w:rsidR="003E08EA">
        <w:t xml:space="preserve">, w wykonaniu obowiązku wynikającego z ustawy lub </w:t>
      </w:r>
      <w:r w:rsidR="001816BF">
        <w:t>na wezwanie służby nadzoru Ministra Sprawiedliwości</w:t>
      </w:r>
      <w:r w:rsidR="005A0777" w:rsidRPr="005A0777">
        <w:t>.</w:t>
      </w:r>
    </w:p>
    <w:p w14:paraId="7BFF7EF5" w14:textId="60FC3AC1" w:rsidR="005A0777" w:rsidRPr="005A0777" w:rsidRDefault="00B42BE0" w:rsidP="00CA7851">
      <w:pPr>
        <w:pStyle w:val="ARTartustawynprozporzdzenia"/>
      </w:pPr>
      <w:r>
        <w:t>3</w:t>
      </w:r>
      <w:r w:rsidR="005A0777" w:rsidRPr="005A0777">
        <w:t>.</w:t>
      </w:r>
      <w:r w:rsidR="005A0777" w:rsidRPr="005A0777">
        <w:tab/>
      </w:r>
      <w:r w:rsidR="00B66F1E">
        <w:t xml:space="preserve">W przypadku udostępnienia, o którym mowa w ust. </w:t>
      </w:r>
      <w:r w:rsidR="007F2A59">
        <w:t>2</w:t>
      </w:r>
      <w:r w:rsidR="00B66F1E">
        <w:t>,</w:t>
      </w:r>
      <w:r w:rsidR="005A0777" w:rsidRPr="005A0777">
        <w:t xml:space="preserve"> syndyk zakłada akta zastępcze. Akta zastępcze zawierają pismo wzywające do przedstawienia akt, odpis pisma, przy którym przesłano akta, oraz dalszą korespondencję w sprawie. Akta zastępcze prowadzi się aż do zwrotu akt sprawy.</w:t>
      </w:r>
    </w:p>
    <w:p w14:paraId="13B684DA" w14:textId="0A11E80D" w:rsidR="005A0777" w:rsidRPr="005A0777" w:rsidRDefault="00B42BE0" w:rsidP="00CA7851">
      <w:pPr>
        <w:pStyle w:val="ARTartustawynprozporzdzenia"/>
      </w:pPr>
      <w:r>
        <w:lastRenderedPageBreak/>
        <w:t>4</w:t>
      </w:r>
      <w:r w:rsidR="005A0777" w:rsidRPr="005A0777">
        <w:t>.</w:t>
      </w:r>
      <w:r w:rsidR="005A0777" w:rsidRPr="005A0777">
        <w:tab/>
      </w:r>
      <w:r w:rsidR="00B66F1E">
        <w:t>Do</w:t>
      </w:r>
      <w:r w:rsidR="005A0777" w:rsidRPr="005A0777">
        <w:t xml:space="preserve"> akt zastępczych stosuje</w:t>
      </w:r>
      <w:r w:rsidR="002735EF">
        <w:t xml:space="preserve"> się przepisy o aktach do zgłoszeń wierzytelności</w:t>
      </w:r>
      <w:r w:rsidR="005A0777" w:rsidRPr="005A0777">
        <w:t>.</w:t>
      </w:r>
    </w:p>
    <w:p w14:paraId="5C135ECF" w14:textId="6C000221" w:rsidR="005A0777" w:rsidRDefault="00B42BE0" w:rsidP="00CA7851">
      <w:pPr>
        <w:pStyle w:val="ARTartustawynprozporzdzenia"/>
      </w:pPr>
      <w:r>
        <w:t>5</w:t>
      </w:r>
      <w:r w:rsidR="005A0777" w:rsidRPr="005A0777">
        <w:t>.</w:t>
      </w:r>
      <w:r w:rsidR="005A0777" w:rsidRPr="005A0777">
        <w:tab/>
        <w:t xml:space="preserve">Akta zastępcze dołącza się w całości do akt </w:t>
      </w:r>
      <w:r w:rsidR="00291D78">
        <w:t>do zgłoszeń wierzytelności</w:t>
      </w:r>
      <w:r w:rsidR="005A0777" w:rsidRPr="005A0777">
        <w:t>.</w:t>
      </w:r>
    </w:p>
    <w:p w14:paraId="1BB60332" w14:textId="2FA76F4E" w:rsidR="007670DB" w:rsidRPr="00130800" w:rsidRDefault="007670DB" w:rsidP="007670DB">
      <w:pPr>
        <w:pStyle w:val="ARTartustawynprozporzdzenia"/>
      </w:pPr>
      <w:r w:rsidRPr="0066490E">
        <w:rPr>
          <w:rStyle w:val="Ppogrubienie"/>
        </w:rPr>
        <w:t>§ 1</w:t>
      </w:r>
      <w:r>
        <w:rPr>
          <w:rStyle w:val="Ppogrubienie"/>
        </w:rPr>
        <w:t>1</w:t>
      </w:r>
      <w:r w:rsidRPr="0066490E">
        <w:rPr>
          <w:rStyle w:val="Ppogrubienie"/>
        </w:rPr>
        <w:t>.</w:t>
      </w:r>
      <w:r>
        <w:t xml:space="preserve"> 1. W przypadku wyznaczeni</w:t>
      </w:r>
      <w:r w:rsidRPr="00130800">
        <w:t xml:space="preserve">a w sprawie syndyka w związku z wygaśnięciem funkcji, zmianą lub prawomocnym odwołaniem poprzedniego syndyka, akta </w:t>
      </w:r>
      <w:r>
        <w:t>do zgłoszeń wierzytelności</w:t>
      </w:r>
      <w:r w:rsidRPr="00130800">
        <w:t xml:space="preserve"> przekazywane są niezwłocznie wyznaczonemu syndykowi. </w:t>
      </w:r>
    </w:p>
    <w:p w14:paraId="30A55E38" w14:textId="77777777" w:rsidR="007670DB" w:rsidRDefault="007670DB" w:rsidP="007670DB">
      <w:pPr>
        <w:pStyle w:val="ARTartustawynprozporzdzenia"/>
      </w:pPr>
      <w:r>
        <w:t xml:space="preserve">2. Z przekazania akt </w:t>
      </w:r>
      <w:r w:rsidRPr="00130800">
        <w:t>sprawy sporządzany jest protokół, który podpisują syndyk i poprzedni syndyk. W przypadku wygaśnięcia funkcji syndyka, protokół podpisuje syndyk i osoba</w:t>
      </w:r>
      <w:r>
        <w:t xml:space="preserve"> przekazująca akta. </w:t>
      </w:r>
    </w:p>
    <w:p w14:paraId="531C6801" w14:textId="3BF46CDA" w:rsidR="007670DB" w:rsidRPr="00130800" w:rsidRDefault="007670DB" w:rsidP="007670DB">
      <w:pPr>
        <w:pStyle w:val="ARTartustawynprozporzdzenia"/>
      </w:pPr>
      <w:r>
        <w:t xml:space="preserve">3. W przypadku ustanowienia syndyka tymczasowego, syndyk tymczasowy prowadzi akta zastępcze, które przekazuje syndykowi po zakończeniu pełnienia funkcji syndyka tymczasowego,  chyba że syndyk i syndyk tymczasowy jest tą samą osobą. </w:t>
      </w:r>
      <w:r w:rsidR="007F2A59">
        <w:t xml:space="preserve">Przepis </w:t>
      </w:r>
      <w:r w:rsidRPr="007670DB">
        <w:t>§</w:t>
      </w:r>
      <w:r>
        <w:t xml:space="preserve"> 1</w:t>
      </w:r>
      <w:r w:rsidR="008405CA">
        <w:t>1</w:t>
      </w:r>
      <w:r>
        <w:t xml:space="preserve"> ust. 2 stosuje się odpowiednio. </w:t>
      </w:r>
    </w:p>
    <w:p w14:paraId="03CECA28" w14:textId="4766E8D0" w:rsidR="007670DB" w:rsidRPr="00130800" w:rsidRDefault="007670DB" w:rsidP="007670DB">
      <w:pPr>
        <w:pStyle w:val="ARTartustawynprozporzdzenia"/>
      </w:pPr>
      <w:r>
        <w:t xml:space="preserve">4. Po zakończeniu postępowania akta </w:t>
      </w:r>
      <w:r w:rsidR="008405CA">
        <w:t>do zgłoszeń wierzytelności</w:t>
      </w:r>
      <w:r>
        <w:t xml:space="preserve"> są przekaz</w:t>
      </w:r>
      <w:r w:rsidRPr="00130800">
        <w:t xml:space="preserve">ywane do sądu upadłościowego, który wydał postanowienie kończące postępowanie. Z przekazania akt sporządzany jest protokół, który podpisuje syndyk i upoważniony pracownik sądu. </w:t>
      </w:r>
    </w:p>
    <w:p w14:paraId="37EC7435" w14:textId="1EF527DE" w:rsidR="00003BFE" w:rsidRDefault="00C861B7">
      <w:pPr>
        <w:pStyle w:val="ARTartustawynprozporzdzenia"/>
      </w:pPr>
      <w:r w:rsidRPr="00C861B7">
        <w:rPr>
          <w:rStyle w:val="Ppogrubienie"/>
        </w:rPr>
        <w:t>§ 1</w:t>
      </w:r>
      <w:r w:rsidR="00AC5F06">
        <w:rPr>
          <w:rStyle w:val="Ppogrubienie"/>
        </w:rPr>
        <w:t>2</w:t>
      </w:r>
      <w:r w:rsidR="00DC7CE9">
        <w:rPr>
          <w:rStyle w:val="Ppogrubienie"/>
        </w:rPr>
        <w:t>.</w:t>
      </w:r>
      <w:r>
        <w:t xml:space="preserve"> </w:t>
      </w:r>
      <w:r w:rsidR="0030398C">
        <w:t xml:space="preserve">1. </w:t>
      </w:r>
      <w:r w:rsidR="00AC5F06" w:rsidRPr="00D7653A">
        <w:t xml:space="preserve">Akta </w:t>
      </w:r>
      <w:r w:rsidR="00AC5F06">
        <w:t>do zgłoszeń wierzytelności</w:t>
      </w:r>
      <w:r w:rsidR="00AC5F06" w:rsidRPr="00D7653A">
        <w:t xml:space="preserve"> mogą być także prowadzone i przechowywane w postaci elektronicznej po zapewnieniu przez syndyka ochrony danych zgromadzonych w tych aktach przed nieuprawnionym dostępem, przetwarzaniem, zmianą lub utratą.</w:t>
      </w:r>
    </w:p>
    <w:p w14:paraId="0532F9E3" w14:textId="77777777" w:rsidR="009B4626" w:rsidRDefault="0030398C" w:rsidP="00CA7851">
      <w:pPr>
        <w:pStyle w:val="ARTartustawynprozporzdzenia"/>
      </w:pPr>
      <w:r>
        <w:t xml:space="preserve">2. </w:t>
      </w:r>
      <w:r w:rsidR="00CB6191">
        <w:t>W przypadku</w:t>
      </w:r>
      <w:r w:rsidR="00B66F1E">
        <w:t>,</w:t>
      </w:r>
      <w:r w:rsidR="00CB6191">
        <w:t xml:space="preserve"> o którym mowa w ust. 1, syndyk przechowuje </w:t>
      </w:r>
      <w:r w:rsidR="00ED74EF">
        <w:t xml:space="preserve">odwzorowane </w:t>
      </w:r>
      <w:r w:rsidR="00D17AD4">
        <w:t>cyf</w:t>
      </w:r>
      <w:r w:rsidR="00ED74EF">
        <w:t>row</w:t>
      </w:r>
      <w:r w:rsidR="00D17AD4">
        <w:t>o</w:t>
      </w:r>
      <w:r w:rsidR="00ED74EF">
        <w:t xml:space="preserve"> </w:t>
      </w:r>
      <w:r w:rsidR="00CB6191">
        <w:t xml:space="preserve">dokumenty </w:t>
      </w:r>
      <w:r w:rsidR="009B4626">
        <w:t xml:space="preserve">także </w:t>
      </w:r>
      <w:r w:rsidR="00CB6191">
        <w:t>w formie papierowej</w:t>
      </w:r>
      <w:r w:rsidR="009B4626">
        <w:t xml:space="preserve">, w sposób określony </w:t>
      </w:r>
      <w:r w:rsidR="00B66F1E">
        <w:t>przepisami</w:t>
      </w:r>
      <w:r w:rsidR="009B4626">
        <w:t xml:space="preserve"> </w:t>
      </w:r>
      <w:r w:rsidR="00B66F1E">
        <w:t>niniejszego rozporządzenia</w:t>
      </w:r>
      <w:r w:rsidR="009B4626">
        <w:t xml:space="preserve">. </w:t>
      </w:r>
    </w:p>
    <w:p w14:paraId="67DA8EF9" w14:textId="69E98410" w:rsidR="005A0777" w:rsidRPr="005A0777" w:rsidRDefault="005A0777" w:rsidP="005A0777">
      <w:pPr>
        <w:pStyle w:val="ARTartustawynprozporzdzenia"/>
      </w:pPr>
      <w:r w:rsidRPr="005A0777">
        <w:rPr>
          <w:rStyle w:val="Ppogrubienie"/>
        </w:rPr>
        <w:t>§ </w:t>
      </w:r>
      <w:r w:rsidR="00880472">
        <w:rPr>
          <w:rStyle w:val="Ppogrubienie"/>
        </w:rPr>
        <w:t>1</w:t>
      </w:r>
      <w:r w:rsidR="00DC7CE9">
        <w:rPr>
          <w:rStyle w:val="Ppogrubienie"/>
        </w:rPr>
        <w:t>3</w:t>
      </w:r>
      <w:r w:rsidRPr="005A0777">
        <w:rPr>
          <w:rStyle w:val="Ppogrubienie"/>
        </w:rPr>
        <w:t>.</w:t>
      </w:r>
      <w:r w:rsidRPr="005A0777">
        <w:tab/>
      </w:r>
      <w:r w:rsidR="00B66F1E">
        <w:t xml:space="preserve"> </w:t>
      </w:r>
      <w:r w:rsidRPr="005A0777">
        <w:t xml:space="preserve">Rozporządzenie wchodzi w życie z dniem </w:t>
      </w:r>
      <w:r w:rsidR="000A1541">
        <w:t xml:space="preserve">24 marca 2020 r. </w:t>
      </w:r>
    </w:p>
    <w:p w14:paraId="46954E6D" w14:textId="77777777" w:rsidR="00C3777A" w:rsidRDefault="00C3777A" w:rsidP="00677DA1">
      <w:pPr>
        <w:pStyle w:val="USTustnpkodeksu"/>
        <w:ind w:firstLine="0"/>
      </w:pPr>
    </w:p>
    <w:p w14:paraId="68EE90C0" w14:textId="77777777" w:rsidR="00180F1F" w:rsidRDefault="00180F1F" w:rsidP="00180F1F">
      <w:pPr>
        <w:pStyle w:val="ARTartustawynprozporzdzenia"/>
      </w:pPr>
    </w:p>
    <w:p w14:paraId="2333F7D5" w14:textId="51E79088" w:rsidR="00931254" w:rsidRDefault="00931254" w:rsidP="00180F1F">
      <w:pPr>
        <w:pStyle w:val="NAZORGWYDnazwaorganuwydajcegoprojektowanyakt"/>
      </w:pPr>
      <w:r>
        <w:t xml:space="preserve">Minister </w:t>
      </w:r>
      <w:r w:rsidRPr="00BE3BF5">
        <w:t>Sprawiedliwości</w:t>
      </w:r>
      <w:r>
        <w:t xml:space="preserve"> </w:t>
      </w:r>
    </w:p>
    <w:p w14:paraId="0C25734B" w14:textId="77777777" w:rsidR="00F044A1" w:rsidRPr="00D76D3C" w:rsidRDefault="00F044A1" w:rsidP="00180F1F">
      <w:pPr>
        <w:pStyle w:val="NAZORGWYDnazwaorganuwydajcegoprojektowanyakt"/>
      </w:pPr>
    </w:p>
    <w:p w14:paraId="63BC6F1E" w14:textId="76078048" w:rsidR="00614BB0" w:rsidRPr="00AB1413" w:rsidRDefault="004425CD" w:rsidP="00F044A1">
      <w:pPr>
        <w:pStyle w:val="NIEARTTEKSTtekstnieartykuowanynppodstprawnarozplubpreambua"/>
        <w:ind w:firstLine="0"/>
      </w:pPr>
      <w:r w:rsidRPr="004425CD">
        <w:rPr>
          <w:noProof/>
        </w:rPr>
        <w:drawing>
          <wp:inline distT="0" distB="0" distL="0" distR="0" wp14:anchorId="73DBC521" wp14:editId="14BEB347">
            <wp:extent cx="5749290" cy="9848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FC73C" w14:textId="77777777" w:rsidR="00BE3BF5" w:rsidRPr="00880C0E" w:rsidRDefault="00BE3BF5" w:rsidP="00880C0E">
      <w:pPr>
        <w:pStyle w:val="ZCZCIKSIGIzmozniprzedmczciksigiartykuempunktem"/>
        <w:rPr>
          <w:rStyle w:val="Ppogrubienie"/>
        </w:rPr>
      </w:pPr>
      <w:r w:rsidRPr="00880C0E">
        <w:rPr>
          <w:rStyle w:val="Ppogrubienie"/>
        </w:rPr>
        <w:lastRenderedPageBreak/>
        <w:t>Uzasadnienie</w:t>
      </w:r>
    </w:p>
    <w:p w14:paraId="458B33DF" w14:textId="77777777" w:rsidR="00BE3BF5" w:rsidRDefault="00BE3BF5" w:rsidP="003E08EA">
      <w:pPr>
        <w:pStyle w:val="NIEARTTEKSTtekstnieartykuowanynppodstprawnarozplubpreambua"/>
      </w:pPr>
      <w:r>
        <w:t xml:space="preserve">Przedmiotowe rozporządzenie stanowi wykonanie delegacji ustawowej zawartej </w:t>
      </w:r>
      <w:r w:rsidR="008C7544">
        <w:t>w art.</w:t>
      </w:r>
      <w:r w:rsidRPr="00BE3BF5">
        <w:br/>
      </w:r>
      <w:r w:rsidR="008C7544" w:rsidRPr="008C7544">
        <w:t xml:space="preserve">228a ust. 6 ustawy z dnia 28 lutego 2003 r. </w:t>
      </w:r>
      <w:r w:rsidR="00CE1222">
        <w:t xml:space="preserve">- </w:t>
      </w:r>
      <w:r w:rsidR="008C7544" w:rsidRPr="008C7544">
        <w:t>Prawo upadłościowe (Dz. U. z 2019 r. poz. 498</w:t>
      </w:r>
      <w:r w:rsidR="00CE1222">
        <w:t xml:space="preserve"> z </w:t>
      </w:r>
      <w:proofErr w:type="spellStart"/>
      <w:r w:rsidR="00CE1222">
        <w:t>późn</w:t>
      </w:r>
      <w:proofErr w:type="spellEnd"/>
      <w:r w:rsidR="00CE1222">
        <w:t>. zm.</w:t>
      </w:r>
      <w:r w:rsidR="008C7544" w:rsidRPr="008C7544">
        <w:t>)</w:t>
      </w:r>
      <w:r>
        <w:t xml:space="preserve">, </w:t>
      </w:r>
      <w:r w:rsidR="00CE1222">
        <w:t xml:space="preserve">dodanym </w:t>
      </w:r>
      <w:r>
        <w:t>ustawą z dnia</w:t>
      </w:r>
      <w:r w:rsidR="00AB1413">
        <w:t xml:space="preserve"> 30 sierpnia</w:t>
      </w:r>
      <w:r>
        <w:t xml:space="preserve"> 2019 r. </w:t>
      </w:r>
      <w:r w:rsidRPr="00880C0E">
        <w:rPr>
          <w:rStyle w:val="Kkursywa"/>
        </w:rPr>
        <w:t>o zmianie ustawy – Prawo upadłościowe oraz niektórych innych ustaw</w:t>
      </w:r>
      <w:r w:rsidR="009B5867">
        <w:rPr>
          <w:rStyle w:val="Kkursywa"/>
        </w:rPr>
        <w:t xml:space="preserve"> </w:t>
      </w:r>
      <w:r w:rsidR="00AB1413">
        <w:t>(Dz. U. z 2019 r. poz. 1802</w:t>
      </w:r>
      <w:r w:rsidR="009B5867">
        <w:t xml:space="preserve">). Zgodnie z treścią delegacji ustawowej </w:t>
      </w:r>
      <w:r w:rsidR="009B5867" w:rsidRPr="009B5867">
        <w:t xml:space="preserve">Minister Sprawiedliwości określi, w drodze rozporządzenia, sposób i tryb prowadzenia oraz udostępniania uczestnikom postępowania oraz służbie nadzoru Ministra Sprawiedliwości </w:t>
      </w:r>
      <w:r w:rsidR="00EB0AE7">
        <w:t>akt do zgłoszeń wierzytelności,</w:t>
      </w:r>
      <w:r w:rsidR="009B5867" w:rsidRPr="009B5867">
        <w:t xml:space="preserve"> mając na względzie zapewnienie bezpieczeństwa i ochrony danych w </w:t>
      </w:r>
      <w:r w:rsidR="00EB0AE7">
        <w:t>nich</w:t>
      </w:r>
      <w:r w:rsidR="009B5867" w:rsidRPr="009B5867">
        <w:t xml:space="preserve"> zawartej.</w:t>
      </w:r>
    </w:p>
    <w:p w14:paraId="0851BB25" w14:textId="77777777" w:rsidR="00B474A3" w:rsidRDefault="00BE0E96" w:rsidP="003E08EA">
      <w:pPr>
        <w:pStyle w:val="NIEARTTEKSTtekstnieartykuowanynppodstprawnarozplubpreambua"/>
      </w:pPr>
      <w:r>
        <w:tab/>
        <w:t>W art. 228a ust. 1 Prawa upadłościowego przewiduje się, że syndyk zakłada i prowadzi akta do zgłoszeń wierzytelnoś</w:t>
      </w:r>
      <w:r w:rsidR="0046613A">
        <w:t xml:space="preserve">ci. Akta te mogą być prowadzone i przechowywane w postaci elektronicznej. </w:t>
      </w:r>
    </w:p>
    <w:p w14:paraId="428538B5" w14:textId="77777777" w:rsidR="00FB759A" w:rsidRDefault="00364A35" w:rsidP="003E08EA">
      <w:pPr>
        <w:pStyle w:val="NIEARTTEKSTtekstnieartykuowanynppodstprawnarozplubpreambua"/>
      </w:pPr>
      <w:r>
        <w:t xml:space="preserve">Powyższe rozwiązanie jest konsekwencją przyjęcia </w:t>
      </w:r>
      <w:r w:rsidR="00174591">
        <w:t>regulacji zawartej we wskazanej wyżej ustawie</w:t>
      </w:r>
      <w:r w:rsidR="006F3E9E">
        <w:t>,</w:t>
      </w:r>
      <w:r>
        <w:t xml:space="preserve"> zgodnie z któ</w:t>
      </w:r>
      <w:r w:rsidR="00174591">
        <w:t>rą</w:t>
      </w:r>
      <w:r w:rsidR="004628BE">
        <w:t xml:space="preserve"> wierzyciele mają obowiązek zgłoszenia wierzytelności syndykowi (por. art. 51 ust. 1 pkt 4 Prawa upadłościowego)</w:t>
      </w:r>
      <w:r w:rsidR="00933026">
        <w:t xml:space="preserve">. </w:t>
      </w:r>
      <w:r w:rsidR="00851244">
        <w:t xml:space="preserve">W konsekwencji </w:t>
      </w:r>
      <w:r w:rsidR="00CE1222">
        <w:t>zachodzi potrzeba</w:t>
      </w:r>
      <w:r w:rsidR="00851244">
        <w:t xml:space="preserve"> uregulowania zagadnień związanych z prowadzeniem akt do zgłoszeń wierzytelnoś</w:t>
      </w:r>
      <w:r w:rsidR="00ED110D">
        <w:t>ci, które do tej pory były prowadzone przez sąd</w:t>
      </w:r>
      <w:r w:rsidR="00D01C30">
        <w:t>y upadłościowe</w:t>
      </w:r>
      <w:r w:rsidR="00ED110D">
        <w:t>. Warto w tym miejscu zaznaczyć, że po reformie prawa upadłościowego wprowadzonej ustawą z dnia 15 maja 2015 r. - Prawo restrukturyzacyjne znacząco uproszczono sposób zgłaszania wierzytelnoś</w:t>
      </w:r>
      <w:r w:rsidR="00D629D2">
        <w:t xml:space="preserve">ci, </w:t>
      </w:r>
      <w:r w:rsidR="006878B1">
        <w:t xml:space="preserve">określając </w:t>
      </w:r>
      <w:r w:rsidR="001B68E4">
        <w:t xml:space="preserve">wzór zgłoszenia wierzytelności (art. 239 ust. 4 Prawa </w:t>
      </w:r>
      <w:r w:rsidR="00D01C30">
        <w:t>upadłościowego</w:t>
      </w:r>
      <w:r w:rsidR="001B68E4">
        <w:t xml:space="preserve">) oraz przewidując, że </w:t>
      </w:r>
      <w:r w:rsidR="006878B1">
        <w:t xml:space="preserve">do zgłoszenia wierzytelności będą załączane dokumenty </w:t>
      </w:r>
      <w:r w:rsidR="00937AF1">
        <w:t>tylko wówczas gdy zgłoszona wierzytelnoś</w:t>
      </w:r>
      <w:r w:rsidR="00D01C30">
        <w:t>ć</w:t>
      </w:r>
      <w:r w:rsidR="00937AF1">
        <w:t xml:space="preserve"> nie znajdzie potwierdzenia w księgach rach</w:t>
      </w:r>
      <w:r w:rsidR="00B03841">
        <w:t>unkowych lub innych dokumentach upadłego albo we wpisach w księdze wieczystej lub rejestrach</w:t>
      </w:r>
      <w:r w:rsidR="00FB759A">
        <w:t xml:space="preserve"> (art. 243 ust. 2 Prawa upadłościowego). </w:t>
      </w:r>
    </w:p>
    <w:p w14:paraId="0BDD4F6C" w14:textId="77777777" w:rsidR="0024587F" w:rsidRDefault="00451B5E" w:rsidP="003E08EA">
      <w:pPr>
        <w:pStyle w:val="NIEARTTEKSTtekstnieartykuowanynppodstprawnarozplubpreambua"/>
      </w:pPr>
      <w:r>
        <w:t>Tym samym, zasadnicza część akt do zgłoszeń wierzytelności będzie składa</w:t>
      </w:r>
      <w:r w:rsidR="00897DB3">
        <w:t>ć</w:t>
      </w:r>
      <w:r>
        <w:t xml:space="preserve"> się </w:t>
      </w:r>
      <w:r w:rsidR="00470B7C">
        <w:t xml:space="preserve">z ustandaryzowanych dokumentów, zawierających informacje o wierzytelnościach. Jedynie w przypadkach budzących wątpliwości </w:t>
      </w:r>
      <w:r w:rsidR="007769E9">
        <w:t>dokumentacja ta będz</w:t>
      </w:r>
      <w:r w:rsidR="0024587F">
        <w:t>ie poszerzona o dowody, potrzebne</w:t>
      </w:r>
      <w:r w:rsidR="007769E9">
        <w:t xml:space="preserve"> dla wykazania istnienia</w:t>
      </w:r>
      <w:r w:rsidR="0024587F">
        <w:t xml:space="preserve"> zgłoszonej wierzytelności. </w:t>
      </w:r>
    </w:p>
    <w:p w14:paraId="443CA9A4" w14:textId="67D668A0" w:rsidR="00933026" w:rsidRDefault="0024587F" w:rsidP="003E08EA">
      <w:pPr>
        <w:pStyle w:val="NIEARTTEKSTtekstnieartykuowanynppodstprawnarozplubpreambua"/>
      </w:pPr>
      <w:r>
        <w:t xml:space="preserve">Wobec istnienia szczególnych regulacji dotyczących </w:t>
      </w:r>
      <w:r w:rsidR="00305141">
        <w:t xml:space="preserve">prowadzenia akt do zgłoszeń wierzytelności w sądach, rozporządzenie przyjmuje szereg </w:t>
      </w:r>
      <w:r w:rsidR="00703283" w:rsidRPr="00703283">
        <w:t xml:space="preserve">rozwiązań </w:t>
      </w:r>
      <w:r w:rsidR="00305141">
        <w:t>zawartych w przepisach wewnętrznych Ministra Sprawiedliwoś</w:t>
      </w:r>
      <w:r w:rsidR="00891CFB">
        <w:t>ci, stosowanych obecnie w sądach upadłościowych (por. § 227</w:t>
      </w:r>
      <w:r w:rsidR="00F566D8">
        <w:t>–</w:t>
      </w:r>
      <w:r w:rsidR="00891CFB">
        <w:t>234 zarządzenia</w:t>
      </w:r>
      <w:r w:rsidR="00F04AF8">
        <w:t xml:space="preserve"> Ministra Sprawiedliwości z 2019 r. w sprawie organizacji </w:t>
      </w:r>
      <w:r w:rsidR="002B1D32">
        <w:t xml:space="preserve">i </w:t>
      </w:r>
      <w:r w:rsidR="002B1D32">
        <w:lastRenderedPageBreak/>
        <w:t>zakresu działania sekretariatów sądowych oraz innych działów administracji sądowej Dz. Urz. M</w:t>
      </w:r>
      <w:r w:rsidR="00F566D8">
        <w:t>in.</w:t>
      </w:r>
      <w:r w:rsidR="00E65A85">
        <w:t xml:space="preserve"> </w:t>
      </w:r>
      <w:proofErr w:type="spellStart"/>
      <w:r w:rsidR="002B1D32">
        <w:t>S</w:t>
      </w:r>
      <w:r w:rsidR="00F566D8">
        <w:t>prawiedl</w:t>
      </w:r>
      <w:proofErr w:type="spellEnd"/>
      <w:r w:rsidR="00F566D8">
        <w:t>.</w:t>
      </w:r>
      <w:r w:rsidR="002B1D32">
        <w:t xml:space="preserve"> poz. 138)</w:t>
      </w:r>
      <w:r w:rsidR="00701FD9">
        <w:t xml:space="preserve">. </w:t>
      </w:r>
    </w:p>
    <w:p w14:paraId="6644D663" w14:textId="77777777" w:rsidR="0080509E" w:rsidRDefault="00701FD9" w:rsidP="003E08EA">
      <w:pPr>
        <w:pStyle w:val="NIEARTTEKSTtekstnieartykuowanynppodstprawnarozplubpreambua"/>
      </w:pPr>
      <w:r>
        <w:t xml:space="preserve">W paragrafach od 2 do 4 </w:t>
      </w:r>
      <w:r w:rsidR="00F566D8">
        <w:t xml:space="preserve">projektowanego rozporządzenia </w:t>
      </w:r>
      <w:r>
        <w:t xml:space="preserve">zawarto treść odpowiadającą § 228 wskazanego wyżej zarządzenia </w:t>
      </w:r>
      <w:r w:rsidR="001E781D">
        <w:t xml:space="preserve">Ministra Sprawiedliwości </w:t>
      </w:r>
      <w:r>
        <w:t>z pewnymi modyfikacjami. W treści przepisów uwzględniono</w:t>
      </w:r>
      <w:r w:rsidR="00C20F0D">
        <w:t xml:space="preserve"> dodatkowo</w:t>
      </w:r>
      <w:r>
        <w:t>, że</w:t>
      </w:r>
      <w:r w:rsidR="001E781D">
        <w:t xml:space="preserve"> zgodnie z art. </w:t>
      </w:r>
      <w:r w:rsidR="006D1072">
        <w:t xml:space="preserve">241 </w:t>
      </w:r>
      <w:r w:rsidR="002E029B">
        <w:t xml:space="preserve">i </w:t>
      </w:r>
      <w:r w:rsidR="00F566D8">
        <w:t xml:space="preserve">art. </w:t>
      </w:r>
      <w:r w:rsidR="002E029B">
        <w:t xml:space="preserve">242a </w:t>
      </w:r>
      <w:r w:rsidR="006D1072">
        <w:t xml:space="preserve">Prawa upadłościowego </w:t>
      </w:r>
      <w:r w:rsidR="005543D8">
        <w:t>to syndyk będzie uprawnionych do stosowania art. 130 Kodeksu postępowania cywilnego i wzywania do uzupełnienia braków oraz do zwrotu zgłoszenia, któ</w:t>
      </w:r>
      <w:r w:rsidR="00B6007A">
        <w:t>rego braki nie zostały uzupełnione w terminie</w:t>
      </w:r>
      <w:r w:rsidR="002E029B">
        <w:t>, a wierzyciel będzie miał możliwość wniesienia na takie zarządzenie skargi</w:t>
      </w:r>
      <w:r w:rsidR="00B6007A">
        <w:t xml:space="preserve">. </w:t>
      </w:r>
    </w:p>
    <w:p w14:paraId="79E17DAF" w14:textId="77777777" w:rsidR="00E576AE" w:rsidRDefault="0080509E" w:rsidP="003E08EA">
      <w:pPr>
        <w:pStyle w:val="NIEARTTEKSTtekstnieartykuowanynppodstprawnarozplubpreambua"/>
      </w:pPr>
      <w:r>
        <w:t xml:space="preserve">W § 2 zawarto także </w:t>
      </w:r>
      <w:r w:rsidR="00F566D8">
        <w:t xml:space="preserve">regulację </w:t>
      </w:r>
      <w:r>
        <w:t>zobowiązującą syndyka do zachowania koperty</w:t>
      </w:r>
      <w:r w:rsidR="00F566D8">
        <w:t>,</w:t>
      </w:r>
      <w:r>
        <w:t xml:space="preserve"> w której nadano zgłoszenie wierzytelności</w:t>
      </w:r>
      <w:r w:rsidR="00F566D8">
        <w:t>,</w:t>
      </w:r>
      <w:r>
        <w:t xml:space="preserve"> oraz kopert</w:t>
      </w:r>
      <w:r w:rsidR="00F566D8">
        <w:t>,</w:t>
      </w:r>
      <w:r>
        <w:t xml:space="preserve"> w których nadesłano inne pisma dotyczące zgłoszenia wierzytelności, wówczas gdy data stempla pocztowego będzie stanowić podstawę ustalania terminu, z którego upływem wiążą się określone skutki procesowe. </w:t>
      </w:r>
      <w:r w:rsidR="00EA7D28">
        <w:t>Należy w tym miejscu zaznaczyć, ż</w:t>
      </w:r>
      <w:r w:rsidR="002570B2">
        <w:t>e zgodnie z art.</w:t>
      </w:r>
      <w:r w:rsidR="008E6EA1">
        <w:t xml:space="preserve"> 178 § 4 i 5 Prawa upadłościowego, do pism kierowanych do syndyka stosuje się odpowiednio przepis art. 165 K.p.c. (</w:t>
      </w:r>
      <w:r w:rsidR="008804FD">
        <w:t>obliczanie terminów, skutki nadania pisma w placówce pocztowej, inne przypadki skutecznego nadania pisma)</w:t>
      </w:r>
      <w:r w:rsidR="00E047F6">
        <w:t>, a do doręczeń dokonywanych przez syndyka - art. 131</w:t>
      </w:r>
      <w:r w:rsidR="00F566D8">
        <w:t>–</w:t>
      </w:r>
      <w:r w:rsidR="00E047F6">
        <w:t xml:space="preserve">142 </w:t>
      </w:r>
      <w:proofErr w:type="spellStart"/>
      <w:r w:rsidR="00E047F6">
        <w:t>K.p.c</w:t>
      </w:r>
      <w:proofErr w:type="spellEnd"/>
      <w:r w:rsidR="00E047F6">
        <w:t xml:space="preserve"> (</w:t>
      </w:r>
      <w:r w:rsidR="005604AE">
        <w:t>doręczenia)</w:t>
      </w:r>
      <w:r w:rsidR="0053261F">
        <w:t>. Ponadto, zgodnie z art. 239a Prawa upadłościowego - zgłoszenie wierzytelności przerywa bieg przedawnienia</w:t>
      </w:r>
      <w:r w:rsidR="002072C7">
        <w:t xml:space="preserve">. Tym samym, we wszystkich tych </w:t>
      </w:r>
      <w:r w:rsidR="008368D8">
        <w:t>przypadkach,</w:t>
      </w:r>
      <w:r w:rsidR="002072C7">
        <w:t xml:space="preserve"> w których wierzyciele będą wnosić lub modyfikować </w:t>
      </w:r>
      <w:r w:rsidR="008368D8">
        <w:t xml:space="preserve">zgłaszane wierzytelności, syndyk powinien zachować </w:t>
      </w:r>
      <w:r w:rsidR="00D11F6D">
        <w:t>w prowadzonych przez siebie aktach kopertę</w:t>
      </w:r>
      <w:r w:rsidR="00F566D8">
        <w:t>,</w:t>
      </w:r>
      <w:r w:rsidR="00D11F6D">
        <w:t xml:space="preserve"> w której nadano pismo. </w:t>
      </w:r>
    </w:p>
    <w:p w14:paraId="5A9FAE17" w14:textId="77777777" w:rsidR="003C36B2" w:rsidRDefault="00E576AE" w:rsidP="003E08EA">
      <w:pPr>
        <w:pStyle w:val="NIEARTTEKSTtekstnieartykuowanynppodstprawnarozplubpreambua"/>
      </w:pPr>
      <w:r>
        <w:t xml:space="preserve">W § </w:t>
      </w:r>
      <w:r w:rsidR="00477477">
        <w:t xml:space="preserve">5 </w:t>
      </w:r>
      <w:r w:rsidR="00F566D8">
        <w:t xml:space="preserve">projektu </w:t>
      </w:r>
      <w:r>
        <w:t xml:space="preserve">przewidziano także </w:t>
      </w:r>
      <w:r w:rsidR="007239A3">
        <w:t xml:space="preserve">odpowiednią </w:t>
      </w:r>
      <w:r w:rsidR="00F566D8">
        <w:t xml:space="preserve">regulację </w:t>
      </w:r>
      <w:r w:rsidR="007239A3">
        <w:t>dla przypadku</w:t>
      </w:r>
      <w:r>
        <w:t xml:space="preserve"> złożenia zgłoszenia wierzytelności bezpośre</w:t>
      </w:r>
      <w:r w:rsidR="007131AA">
        <w:t>d</w:t>
      </w:r>
      <w:r>
        <w:t xml:space="preserve">nio do rąk syndyka lub osoby przez niego upoważnionej. </w:t>
      </w:r>
    </w:p>
    <w:p w14:paraId="3AE68A96" w14:textId="77777777" w:rsidR="00F5713F" w:rsidRDefault="003C36B2" w:rsidP="003E08EA">
      <w:pPr>
        <w:pStyle w:val="NIEARTTEKSTtekstnieartykuowanynppodstprawnarozplubpreambua"/>
      </w:pPr>
      <w:r>
        <w:t xml:space="preserve">W </w:t>
      </w:r>
      <w:r w:rsidR="00F566D8">
        <w:t xml:space="preserve">projektowanym </w:t>
      </w:r>
      <w:r>
        <w:t xml:space="preserve">§ </w:t>
      </w:r>
      <w:r w:rsidR="00477477">
        <w:t>4</w:t>
      </w:r>
      <w:r>
        <w:t xml:space="preserve">, podobnie jak to wynika z </w:t>
      </w:r>
      <w:r w:rsidR="007131AA">
        <w:t xml:space="preserve">§ 229 </w:t>
      </w:r>
      <w:r w:rsidR="00F566D8">
        <w:t xml:space="preserve">ww. </w:t>
      </w:r>
      <w:r w:rsidR="007131AA">
        <w:t>zarządzenia Ministra Sprawiedliwości</w:t>
      </w:r>
      <w:r w:rsidR="009D3238">
        <w:t>,</w:t>
      </w:r>
      <w:r w:rsidR="007239A3">
        <w:t xml:space="preserve"> wprowadzono obowiązek zakładania akt pomocniczych </w:t>
      </w:r>
      <w:r w:rsidR="00A96995">
        <w:t>we wszystkich tych przypadkach, gdy istnieje możliwość powstania sporu, który będzie podlegał sądowemu rozstrzygnięciu. Rozwiązanie to</w:t>
      </w:r>
      <w:r w:rsidR="00C671B9">
        <w:t xml:space="preserve"> ma</w:t>
      </w:r>
      <w:r w:rsidR="00A96995">
        <w:t xml:space="preserve"> </w:t>
      </w:r>
      <w:r w:rsidR="00F5713F">
        <w:t>umożliwić</w:t>
      </w:r>
      <w:r w:rsidR="00A96995">
        <w:t xml:space="preserve"> przekazywanie do są</w:t>
      </w:r>
      <w:r w:rsidR="00F5713F">
        <w:t xml:space="preserve">du tylko tych dokumentów, które są niezbędne do rozstrzygnięcia sprawy. </w:t>
      </w:r>
    </w:p>
    <w:p w14:paraId="395F7B5A" w14:textId="77777777" w:rsidR="00C671B9" w:rsidRDefault="00F5713F" w:rsidP="003E08EA">
      <w:pPr>
        <w:pStyle w:val="NIEARTTEKSTtekstnieartykuowanynppodstprawnarozplubpreambua"/>
      </w:pPr>
      <w:r>
        <w:t xml:space="preserve">W § </w:t>
      </w:r>
      <w:r w:rsidR="00477477">
        <w:t xml:space="preserve">6 </w:t>
      </w:r>
      <w:r w:rsidR="00FF483B">
        <w:t xml:space="preserve">ust. 1 </w:t>
      </w:r>
      <w:r w:rsidR="00F566D8">
        <w:t xml:space="preserve">projektowanego </w:t>
      </w:r>
      <w:r>
        <w:t>rozporzą</w:t>
      </w:r>
      <w:r w:rsidR="00DB2973">
        <w:t>dzeni</w:t>
      </w:r>
      <w:r w:rsidR="00C671B9">
        <w:t>a</w:t>
      </w:r>
      <w:r w:rsidR="00DB2973">
        <w:t xml:space="preserve"> znajduje się odniesienie do regulacji zawartej w </w:t>
      </w:r>
      <w:r w:rsidR="00FF483B">
        <w:t>242a ust. 5 Prawa upadłościowego, wskazującej na postępowani</w:t>
      </w:r>
      <w:r w:rsidR="00C671B9">
        <w:t>e</w:t>
      </w:r>
      <w:r w:rsidR="00FF483B">
        <w:t xml:space="preserve"> z aktami do zgłoszeń wierzytelności w przypadku </w:t>
      </w:r>
      <w:r w:rsidR="00A76A02">
        <w:t xml:space="preserve">otrzymania skargi. </w:t>
      </w:r>
    </w:p>
    <w:p w14:paraId="1F0C03E3" w14:textId="77777777" w:rsidR="00C54709" w:rsidRDefault="00A76A02" w:rsidP="003E08EA">
      <w:pPr>
        <w:pStyle w:val="NIEARTTEKSTtekstnieartykuowanynppodstprawnarozplubpreambua"/>
      </w:pPr>
      <w:r>
        <w:lastRenderedPageBreak/>
        <w:t xml:space="preserve">W ust. 2 § </w:t>
      </w:r>
      <w:r w:rsidR="00BB2FC1">
        <w:t xml:space="preserve">6 </w:t>
      </w:r>
      <w:r w:rsidR="00F566D8">
        <w:t xml:space="preserve">projektu </w:t>
      </w:r>
      <w:r>
        <w:t>wskazuje się na tryb postępowania z aktami do zgłoszeń wierzytelności w przypadku złożenia sprzeciwu</w:t>
      </w:r>
      <w:r w:rsidR="00A514B2">
        <w:t xml:space="preserve">. Akta </w:t>
      </w:r>
      <w:r w:rsidR="00C54709">
        <w:t xml:space="preserve">dotyczące danego zgłoszenia wierzytelności </w:t>
      </w:r>
      <w:r w:rsidR="00A514B2">
        <w:t xml:space="preserve">powinny zostać przekazane do sądu upadłościowego najpóźniej </w:t>
      </w:r>
      <w:r w:rsidR="00C54709">
        <w:t>po doręczeniu syndykowi odpisu sprzeciwu.</w:t>
      </w:r>
    </w:p>
    <w:p w14:paraId="2AFDED4A" w14:textId="77777777" w:rsidR="00364A35" w:rsidRDefault="00C54709" w:rsidP="003E08EA">
      <w:pPr>
        <w:pStyle w:val="NIEARTTEKSTtekstnieartykuowanynppodstprawnarozplubpreambua"/>
      </w:pPr>
      <w:r>
        <w:t>W ust. 3</w:t>
      </w:r>
      <w:r w:rsidR="00360371">
        <w:t xml:space="preserve"> § </w:t>
      </w:r>
      <w:r w:rsidR="00BB2FC1">
        <w:t xml:space="preserve">6 </w:t>
      </w:r>
      <w:r w:rsidR="00F566D8">
        <w:t xml:space="preserve">projektu </w:t>
      </w:r>
      <w:r w:rsidR="00360371">
        <w:t>wskazuje się, że po prawomocnym rozpoznaniu skargi lub sprzeciwu, akta do zgłoszeń wierzytelnoś</w:t>
      </w:r>
      <w:r w:rsidR="009C3207">
        <w:t>ci prowadzone przez syndyka nie muszą zostać uzupełnione o przekazane sądowi akta danego zgłoszenia wierzytelności i mogą pozostać w sądzie</w:t>
      </w:r>
      <w:r w:rsidR="0079476E">
        <w:t>, przy aktach w których rozpoznano sprzeciw</w:t>
      </w:r>
      <w:r w:rsidR="00807D0C">
        <w:t xml:space="preserve"> (zażalenie)</w:t>
      </w:r>
      <w:r w:rsidR="009C3207">
        <w:t>. Decyzja w tym zakresie należy do sę</w:t>
      </w:r>
      <w:r w:rsidR="002A70BE">
        <w:t xml:space="preserve">dziego-komisarza, co wynika z </w:t>
      </w:r>
      <w:r w:rsidR="00377FD6">
        <w:t xml:space="preserve">jego </w:t>
      </w:r>
      <w:r w:rsidR="002A70BE">
        <w:t>ogó</w:t>
      </w:r>
      <w:r w:rsidR="00B41A52">
        <w:t xml:space="preserve">lnej kompetencji wyrażonej w art. </w:t>
      </w:r>
      <w:r w:rsidR="00377FD6">
        <w:t xml:space="preserve">152 ust. 1 Prawa upadłościowego. </w:t>
      </w:r>
      <w:r w:rsidR="00674A49">
        <w:t>Ponadto</w:t>
      </w:r>
      <w:r w:rsidR="00C704F6">
        <w:t>,</w:t>
      </w:r>
      <w:r w:rsidR="00674A49">
        <w:t xml:space="preserve"> wydaje się, że w większości przypadków zgłoszenie wierzytelności, ze względów praktycznych, powinno </w:t>
      </w:r>
      <w:r w:rsidR="00DF08C3">
        <w:t xml:space="preserve">znajdować się </w:t>
      </w:r>
      <w:r w:rsidR="002D4379">
        <w:t>w aktach</w:t>
      </w:r>
      <w:r w:rsidR="00F566D8">
        <w:t>,</w:t>
      </w:r>
      <w:r w:rsidR="002D4379">
        <w:t xml:space="preserve"> w których nastąpiło ostateczne rozstrzygnięcie</w:t>
      </w:r>
      <w:r w:rsidR="00952639">
        <w:t xml:space="preserve"> co do zgłoszonej wierzytelności</w:t>
      </w:r>
      <w:r w:rsidR="0079476E">
        <w:t xml:space="preserve"> wydane przez sędziego- komisarza lub sąd</w:t>
      </w:r>
      <w:r w:rsidR="002D4379">
        <w:t>, odzwierciedlone na liście wierzytelności</w:t>
      </w:r>
      <w:r w:rsidR="00A8019A">
        <w:t>. Należy też</w:t>
      </w:r>
      <w:r w:rsidR="002D4379">
        <w:t xml:space="preserve"> pamięta</w:t>
      </w:r>
      <w:r w:rsidR="00A8019A">
        <w:t>ć,</w:t>
      </w:r>
      <w:r w:rsidR="002D4379">
        <w:t xml:space="preserve"> że zgodnie z art. 228a ust. 4 Prawa upadłościowego prawomocne zakończenie postępowania powoduje obowiązek przekazania całości akt do zgłoszeń wierzytelności do sądu</w:t>
      </w:r>
      <w:r w:rsidR="00A8019A">
        <w:t xml:space="preserve"> i dołączenie ich do akt postępowania upadłościowego</w:t>
      </w:r>
      <w:r w:rsidR="00F566D8">
        <w:t>,</w:t>
      </w:r>
      <w:r w:rsidR="00A8019A">
        <w:t xml:space="preserve"> w którym zgłoszono wierzytelności</w:t>
      </w:r>
      <w:r w:rsidR="002D4379">
        <w:t xml:space="preserve">. </w:t>
      </w:r>
    </w:p>
    <w:p w14:paraId="6A84F0D8" w14:textId="77777777" w:rsidR="00952639" w:rsidRDefault="00952639" w:rsidP="003E08EA">
      <w:pPr>
        <w:pStyle w:val="NIEARTTEKSTtekstnieartykuowanynppodstprawnarozplubpreambua"/>
      </w:pPr>
      <w:r>
        <w:t xml:space="preserve">W </w:t>
      </w:r>
      <w:r w:rsidR="00F566D8">
        <w:t xml:space="preserve">projektowanym </w:t>
      </w:r>
      <w:r>
        <w:t xml:space="preserve">§ </w:t>
      </w:r>
      <w:r w:rsidR="00625443">
        <w:t xml:space="preserve">7 </w:t>
      </w:r>
      <w:r w:rsidR="00A13BC9">
        <w:t xml:space="preserve">znajduje się regulacja odpowiadająca rozwiązaniu zawartemu w § 228 ust. 3 </w:t>
      </w:r>
      <w:r w:rsidR="00F566D8">
        <w:t xml:space="preserve">ww. </w:t>
      </w:r>
      <w:r w:rsidR="00A13BC9">
        <w:t xml:space="preserve">zarządzenia Ministra Sprawiedliwości. </w:t>
      </w:r>
    </w:p>
    <w:p w14:paraId="09187AD2" w14:textId="29DC5667" w:rsidR="009E04F3" w:rsidRDefault="00117C3B" w:rsidP="003E08EA">
      <w:pPr>
        <w:pStyle w:val="NIEARTTEKSTtekstnieartykuowanynppodstprawnarozplubpreambua"/>
      </w:pPr>
      <w:r>
        <w:t xml:space="preserve">W § </w:t>
      </w:r>
      <w:r w:rsidR="00625443">
        <w:t xml:space="preserve">8 </w:t>
      </w:r>
      <w:r w:rsidR="00F566D8">
        <w:t xml:space="preserve">projektu </w:t>
      </w:r>
      <w:r>
        <w:t xml:space="preserve">uregulowano sposób </w:t>
      </w:r>
      <w:r w:rsidR="00AE383C">
        <w:t>postępowania</w:t>
      </w:r>
      <w:r>
        <w:t xml:space="preserve"> w przypadku złożenia przez wierzyciela wniosku w trybie art. 266 Prawa upadłoś</w:t>
      </w:r>
      <w:r w:rsidR="003D2AAD">
        <w:t xml:space="preserve">ciowego, to jest wniosku o zwrot dokumentów złożonych w celu udowodnienia wierzytelności. </w:t>
      </w:r>
      <w:r w:rsidR="007C3887" w:rsidRPr="007C3887">
        <w:t xml:space="preserve">W toku postępowania upadłościowego  decyzję, co do zwrotu zgłoszonych dokumentów podejmuje, zgodnie ze wskazanym przepisem, sędzia – komisarz.  Może ją podjąć po udostępnieniu mu akt do zgłoszeń wierzytelności w trybie par. 10 ust.2 rozporządzenia w zw. z art. 154 </w:t>
      </w:r>
      <w:proofErr w:type="spellStart"/>
      <w:r w:rsidR="007C3887" w:rsidRPr="007C3887">
        <w:t>P.u</w:t>
      </w:r>
      <w:proofErr w:type="spellEnd"/>
      <w:r w:rsidR="007C3887" w:rsidRPr="007C3887">
        <w:t>. Po zakończeniu postępowania akta do zgłoszeń wierzytelności są przekazywane do sądu. Decyzję w sprawie wydania dokumentów na tym etapie, od dnia 1 grudnia 2020 r., będzie podejmował sąd (art. 152 ust. 4 Prawa upadłościowego). W okresie przejściowym, decyzja ta należy do przewodniczącego wydziału - § 126 ust. 2 Rozporządzenia Ministra Sprawiedliwości z dnia 18 czerwca 2019 r. (Dz. U. z 2019 r. poz. 1141). Tym samym, w przypadku decyzji pozytywnej, wydanie dokumentów powinno nastąpić za pośrednictwem sekretariatu sądu.</w:t>
      </w:r>
      <w:r w:rsidR="007C3887">
        <w:t xml:space="preserve"> </w:t>
      </w:r>
    </w:p>
    <w:p w14:paraId="23578107" w14:textId="77777777" w:rsidR="001901F8" w:rsidRDefault="00D944CC" w:rsidP="001901F8">
      <w:pPr>
        <w:pStyle w:val="NIEARTTEKSTtekstnieartykuowanynppodstprawnarozplubpreambua"/>
      </w:pPr>
      <w:r>
        <w:t xml:space="preserve">W § </w:t>
      </w:r>
      <w:r w:rsidR="00625443">
        <w:t xml:space="preserve">9 </w:t>
      </w:r>
      <w:r w:rsidR="00F566D8">
        <w:t xml:space="preserve">projektu </w:t>
      </w:r>
      <w:r w:rsidR="00603CF8">
        <w:t>uregulowano sposób udostępniania akt do zgłoszeń wierzytelności ze wskazaniem środków ostrożności, które musi zachować syndyk przy okazywaniu tych akt</w:t>
      </w:r>
      <w:r w:rsidR="005120FB">
        <w:t xml:space="preserve"> w </w:t>
      </w:r>
      <w:r w:rsidR="005120FB">
        <w:lastRenderedPageBreak/>
        <w:t>swoim biurze</w:t>
      </w:r>
      <w:r w:rsidR="00603CF8">
        <w:t>.</w:t>
      </w:r>
      <w:r w:rsidR="008805F9">
        <w:t xml:space="preserve"> Przepis ten uwzględnia</w:t>
      </w:r>
      <w:r w:rsidR="00E932EE">
        <w:t xml:space="preserve"> </w:t>
      </w:r>
      <w:r w:rsidR="007D0147">
        <w:t xml:space="preserve">zawartą </w:t>
      </w:r>
      <w:r w:rsidR="00E932EE">
        <w:t xml:space="preserve">w art. 228 Prawa upadłościowego regułę udostępniania akt także osobom, które potrzebę przejrzenia </w:t>
      </w:r>
      <w:r w:rsidR="007D0147">
        <w:t xml:space="preserve">akt </w:t>
      </w:r>
      <w:r w:rsidR="00E932EE">
        <w:t xml:space="preserve">dostatecznie usprawiedliwią. </w:t>
      </w:r>
      <w:r w:rsidR="001901F8">
        <w:t xml:space="preserve">Przepis ten określa także sposób sporządzenia odpisów z akt sprawy. </w:t>
      </w:r>
    </w:p>
    <w:p w14:paraId="31AA87CA" w14:textId="1925AA70" w:rsidR="005A1CAF" w:rsidRDefault="00603CF8" w:rsidP="005A1CAF">
      <w:pPr>
        <w:pStyle w:val="NIEARTTEKSTtekstnieartykuowanynppodstprawnarozplubpreambua"/>
      </w:pPr>
      <w:r>
        <w:t xml:space="preserve"> </w:t>
      </w:r>
      <w:r w:rsidR="00C1046F">
        <w:t xml:space="preserve">Projektowany </w:t>
      </w:r>
      <w:r w:rsidR="00872F32">
        <w:t xml:space="preserve">§ </w:t>
      </w:r>
      <w:r w:rsidR="00625443">
        <w:t>10</w:t>
      </w:r>
      <w:r w:rsidR="007132D1">
        <w:t xml:space="preserve"> </w:t>
      </w:r>
      <w:r w:rsidR="005A1CAF">
        <w:t xml:space="preserve">zawiera regulację dotyczącą sposobu przechowywania i udostępniania akt sprawy w toku postępowania, z uwzględnieniem bezpieczeństwa przechowywanych danych. Przepis precyzuje, że akta te powinny być umieszczone w pomieszczeniu biurowym, do którego dostęp ma wyłącznie syndyk i osoba przez niego upoważnienia, co nie wyklucza prowadzenia wspólnego biura przez więcej niż jednego syndyka, przy założeniu że zostaną udzielone odpowiednie upoważnienia dla osób mających dostęp do współdzielonych pomieszczeń. </w:t>
      </w:r>
    </w:p>
    <w:p w14:paraId="73B60B3E" w14:textId="1764A314" w:rsidR="005A1CAF" w:rsidRDefault="005A1CAF" w:rsidP="005A1CAF">
      <w:pPr>
        <w:pStyle w:val="ARTartustawynprozporzdzenia"/>
      </w:pPr>
      <w:r>
        <w:t xml:space="preserve">W odniesieniu do udostępniania akt poza biuro, przez sąd należy rozumień nie tylko sąd upadłościowy i sędziego - komisarza, ale także każdy inny sąd, który wystąpi we właściwym trybie o dostęp do akt sprawy prowadzonych przez syndyka. </w:t>
      </w:r>
    </w:p>
    <w:p w14:paraId="0AD0F429" w14:textId="34238881" w:rsidR="007670DB" w:rsidRPr="008405CA" w:rsidRDefault="007670DB" w:rsidP="00677DA1">
      <w:pPr>
        <w:pStyle w:val="ARTartustawynprozporzdzenia"/>
      </w:pPr>
      <w:r>
        <w:t xml:space="preserve">W </w:t>
      </w:r>
      <w:r w:rsidRPr="007670DB">
        <w:t>§ 1</w:t>
      </w:r>
      <w:r w:rsidR="001901F8">
        <w:t>1</w:t>
      </w:r>
      <w:r w:rsidRPr="007670DB">
        <w:t xml:space="preserve"> znalazły się regulacje precyzujące sposób przejmowania akt, o którym mowa w art. </w:t>
      </w:r>
      <w:r w:rsidR="001901F8">
        <w:t>228a</w:t>
      </w:r>
      <w:r w:rsidRPr="007670DB">
        <w:t xml:space="preserve"> ust. 5 Prawa upadłościowego oraz przekazywania akt do sądu upadłościowego po prawomocnym zakończeniu postępowania. Rozporządzenie przyjmuje jako zasadę obowiązek sporządzania protokołu, podpisywanego przez nowo wyznaczonego syndyka i osobę która akta przekazuje (były syndyk, jego pracownik, dzierżyciel) albo przez syndyka i upoważnionego pracownika sądu. W przypadku wyznaczenia tymczasowego syndyka na podstawie art. 170 ust. 2 lub 172 ust. 2 Prawa upadłościowego rozporządzeni</w:t>
      </w:r>
      <w:r w:rsidR="001901F8">
        <w:t>e</w:t>
      </w:r>
      <w:r w:rsidRPr="007670DB">
        <w:t xml:space="preserve"> precyzuje, że w takiej sytuacji tymczasowy syndyk prowadzi akta zastępcze. Akta te przekazywane są syndykowi, którym może być dotychczasowy syndyk lub syndyk nowo powołany, w zależności od ostatecznego wyniku postępowania w przedmiocie odwołania syndyka. Należy jednak założyć, że najczęstszą sytuacją będzie powołanie tymczasowego syndyka do pełnienia funkcji syndyka po skutecznym odwołaniu poprzedniego syndyka i dalsze prowadzenie akt przez ten sam podmiot.</w:t>
      </w:r>
    </w:p>
    <w:p w14:paraId="3DA11D98" w14:textId="55084DBF" w:rsidR="00E015EB" w:rsidRDefault="007132D1" w:rsidP="00E015EB">
      <w:pPr>
        <w:pStyle w:val="ARTartustawynprozporzdzenia"/>
      </w:pPr>
      <w:r>
        <w:t xml:space="preserve">W § </w:t>
      </w:r>
      <w:r w:rsidR="001901F8">
        <w:t xml:space="preserve">12 </w:t>
      </w:r>
      <w:r w:rsidR="00E015EB">
        <w:t xml:space="preserve">projektu rozporządzenia znajduje się odniesienie do możliwości prowadzenia przez syndyka akt do zgłoszeń wierzytelności w postaci elektronicznej. Mając na uwadze, że do czasu wejścia w życie ustawy z dnia 6 grudnia 2018 r. o Krajowym Rejestrze Zadłużonych obieg dokumentów w postępowaniu upadłościowym będzie prowadzony w formie papierowej, prowadzenie akt w postaci elektronicznej nie może zastąpić gromadzenia dokumentów w postaci papierowej (ust. 2 </w:t>
      </w:r>
      <w:r w:rsidR="00E015EB" w:rsidRPr="00E015EB">
        <w:t>§</w:t>
      </w:r>
      <w:r w:rsidR="00E015EB">
        <w:t xml:space="preserve"> 12). Tym samym, syndyk może prowadzić akta do zgłoszeń wierzytelności w postaci elektronicznej </w:t>
      </w:r>
      <w:r w:rsidR="00E015EB" w:rsidRPr="00B56CEA">
        <w:t xml:space="preserve">po zapewnieniu ochrony danych zgromadzonych w </w:t>
      </w:r>
      <w:r w:rsidR="00E015EB" w:rsidRPr="00B56CEA">
        <w:lastRenderedPageBreak/>
        <w:t>tych aktach przed nieuprawnionym dostępem, przetwarzaniem, zmianą lub utratą</w:t>
      </w:r>
      <w:r w:rsidR="00E015EB">
        <w:t>, przy czym równolegle jest zobligowany do prowadzenia akt w postaci papierowej</w:t>
      </w:r>
      <w:r w:rsidR="00E015EB" w:rsidRPr="00B56CEA">
        <w:t>.</w:t>
      </w:r>
      <w:r w:rsidR="00E015EB">
        <w:t xml:space="preserve"> Tylko bowiem prowadzenie akt w tej formie będzie umożliwiało komunikację z sądem upadłościowym (por. art. 455 ust. 1 - 3 ustawy - Prawo restrukturyzacyjne). </w:t>
      </w:r>
    </w:p>
    <w:p w14:paraId="5DC90C56" w14:textId="77777777" w:rsidR="009B5867" w:rsidRPr="009B5867" w:rsidRDefault="009B5867" w:rsidP="003E08EA">
      <w:pPr>
        <w:pStyle w:val="NIEARTTEKSTtekstnieartykuowanynppodstprawnarozplubpreambua"/>
      </w:pPr>
      <w:r w:rsidRPr="009B5867">
        <w:t xml:space="preserve">Proponowana data wejścia w życie rozporządzenia </w:t>
      </w:r>
      <w:r w:rsidR="00C1046F">
        <w:t xml:space="preserve">- </w:t>
      </w:r>
      <w:r w:rsidR="007A656A">
        <w:t>24</w:t>
      </w:r>
      <w:r>
        <w:t xml:space="preserve"> </w:t>
      </w:r>
      <w:r w:rsidR="007A656A">
        <w:t>marca</w:t>
      </w:r>
      <w:r w:rsidR="00C155EB">
        <w:t xml:space="preserve"> 2020 r.</w:t>
      </w:r>
      <w:r w:rsidR="00C1046F">
        <w:t xml:space="preserve"> -</w:t>
      </w:r>
      <w:r>
        <w:t xml:space="preserve"> jest również datą wejścia w życie </w:t>
      </w:r>
      <w:r w:rsidR="00C1046F">
        <w:t>przepisu zawierającego delegację ustawową do jego wydania</w:t>
      </w:r>
      <w:r w:rsidRPr="009B5867">
        <w:t>.</w:t>
      </w:r>
    </w:p>
    <w:p w14:paraId="04EB1830" w14:textId="77777777" w:rsidR="009B5867" w:rsidRPr="009B5867" w:rsidRDefault="009B5867" w:rsidP="003E08EA">
      <w:pPr>
        <w:pStyle w:val="NIEARTTEKSTtekstnieartykuowanynppodstprawnarozplubpreambua"/>
      </w:pPr>
      <w:r w:rsidRPr="009B5867">
        <w:t>Zgodnie z art. 5 ustawy z dnia 7 lipca 2005 r. o działalności lobbingowej w procesie stanowienia prawa (Dz. U. z 2017 r. poz. 248) oraz § 52 ust. 1 uchwały nr 190 Rady Ministrów z dnia 29 października 2013 r. – Regulamin pracy Rady Ministrów (M.</w:t>
      </w:r>
      <w:r>
        <w:t xml:space="preserve">P. z  </w:t>
      </w:r>
      <w:r w:rsidRPr="009B5867">
        <w:t xml:space="preserve">2016 r. poz. 1006 </w:t>
      </w:r>
      <w:r w:rsidR="00C1046F">
        <w:t xml:space="preserve">z </w:t>
      </w:r>
      <w:proofErr w:type="spellStart"/>
      <w:r w:rsidR="00C1046F">
        <w:t>późn</w:t>
      </w:r>
      <w:proofErr w:type="spellEnd"/>
      <w:r w:rsidR="00C1046F">
        <w:t>. zm.</w:t>
      </w:r>
      <w:r w:rsidRPr="009B5867">
        <w:t xml:space="preserve">), projekt rozporządzenia podlega udostępnieniu w Biuletynie Informacji Publicznej na stronie podmiotowej Rządowego Centrum Legislacji, w serwisie „Rządowy Proces Legislacyjny”. </w:t>
      </w:r>
    </w:p>
    <w:p w14:paraId="4A0B8DDA" w14:textId="77777777" w:rsidR="009B5867" w:rsidRPr="009B5867" w:rsidRDefault="009B5867" w:rsidP="003E08EA">
      <w:pPr>
        <w:pStyle w:val="NIEARTTEKSTtekstnieartykuowanynppodstprawnarozplubpreambua"/>
      </w:pPr>
      <w:r w:rsidRPr="009B5867">
        <w:t xml:space="preserve">Projekt rozporządzenia nie dotyczy funkcjonowania samorządu terytorialnego oraz nie podlega notyfikacji na zasadach przewidzianych w rozporządzeniu Rady Ministrów z dnia 23 grudnia 2002 r. w sprawie sposobu funkcjonowania krajowego systemu notyfikacji norm i aktów prawnych (Dz. U. poz. 2039 oraz z 2004 r. poz. 597). </w:t>
      </w:r>
    </w:p>
    <w:p w14:paraId="384DC8AD" w14:textId="77777777" w:rsidR="009B5867" w:rsidRPr="009B5867" w:rsidRDefault="009B5867" w:rsidP="003E08EA">
      <w:pPr>
        <w:pStyle w:val="NIEARTTEKSTtekstnieartykuowanynppodstprawnarozplubpreambua"/>
      </w:pPr>
      <w:r w:rsidRPr="009B5867">
        <w:t xml:space="preserve">Projektowane rozporządzenie pozostaje bez negatywnego wpływu na działalność </w:t>
      </w:r>
      <w:proofErr w:type="spellStart"/>
      <w:r w:rsidRPr="009B5867">
        <w:t>mikroprzedsiębiorców</w:t>
      </w:r>
      <w:proofErr w:type="spellEnd"/>
      <w:r w:rsidRPr="009B5867">
        <w:t xml:space="preserve"> oraz małych i średnich przedsiębiorców. </w:t>
      </w:r>
    </w:p>
    <w:p w14:paraId="1B185E94" w14:textId="77777777" w:rsidR="009B5867" w:rsidRPr="009B5867" w:rsidRDefault="009B5867" w:rsidP="003E08EA">
      <w:pPr>
        <w:pStyle w:val="NIEARTTEKSTtekstnieartykuowanynppodstprawnarozplubpreambua"/>
      </w:pPr>
      <w:r w:rsidRPr="009B5867">
        <w:t>Projekt rozporządzenia jest zgodny z prawem Unii Europejskiej i nie wymaga przedstawienia właściwym instytucjom i organom Unii Europejskiej lub Europejskiemu Bankowi Centralnemu celem uzyskania opinii, dokonania powiadomienia, konsultacji albo</w:t>
      </w:r>
      <w:r>
        <w:t xml:space="preserve"> </w:t>
      </w:r>
      <w:r w:rsidRPr="009B5867">
        <w:t>uzgodnienia, w przypadkach określonych w obowiązujących na terytorium Rzeczypospolitej Polskiej przepisach Unii Europejskiej.</w:t>
      </w:r>
    </w:p>
    <w:sectPr w:rsidR="009B5867" w:rsidRPr="009B5867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1DE0" w14:textId="77777777" w:rsidR="00955B15" w:rsidRDefault="00955B15">
      <w:r>
        <w:separator/>
      </w:r>
    </w:p>
  </w:endnote>
  <w:endnote w:type="continuationSeparator" w:id="0">
    <w:p w14:paraId="349B566D" w14:textId="77777777" w:rsidR="00955B15" w:rsidRDefault="0095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8FE4" w14:textId="77777777" w:rsidR="00955B15" w:rsidRDefault="00955B15">
      <w:r>
        <w:separator/>
      </w:r>
    </w:p>
  </w:footnote>
  <w:footnote w:type="continuationSeparator" w:id="0">
    <w:p w14:paraId="5ACB11F7" w14:textId="77777777" w:rsidR="00955B15" w:rsidRDefault="00955B15">
      <w:r>
        <w:continuationSeparator/>
      </w:r>
    </w:p>
  </w:footnote>
  <w:footnote w:id="1">
    <w:p w14:paraId="48862E46" w14:textId="5D978D4B" w:rsidR="00911A2C" w:rsidRPr="00911A2C" w:rsidRDefault="008133CB" w:rsidP="00677DA1">
      <w:pPr>
        <w:pStyle w:val="ODNONIKtreodnonika"/>
      </w:pPr>
      <w:r>
        <w:rPr>
          <w:rStyle w:val="Odwoanieprzypisudolnego"/>
        </w:rPr>
        <w:footnoteRef/>
      </w:r>
      <w:r w:rsidR="00911A2C">
        <w:rPr>
          <w:rStyle w:val="IGindeksgrny"/>
        </w:rPr>
        <w:t xml:space="preserve">) </w:t>
      </w:r>
      <w:r>
        <w:t xml:space="preserve"> </w:t>
      </w:r>
      <w:r w:rsidR="00911A2C">
        <w:t xml:space="preserve"> </w:t>
      </w:r>
      <w:r w:rsidR="00911A2C" w:rsidRPr="00911A2C">
        <w:t>Zmiany tekstu jednolitego wymienionej ustawy zostały ogłoszone w Dz. U. z 2019 r. poz. 912, 1495, 1655, 1802, 2089 i 2217.</w:t>
      </w:r>
    </w:p>
    <w:p w14:paraId="304391C3" w14:textId="5EAA06D3" w:rsidR="008133CB" w:rsidRDefault="00813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9EB2" w14:textId="77777777" w:rsidR="00674A49" w:rsidRPr="00B371CC" w:rsidRDefault="00674A4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14CED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034"/>
    <w:multiLevelType w:val="hybridMultilevel"/>
    <w:tmpl w:val="E292A27C"/>
    <w:lvl w:ilvl="0" w:tplc="EEF604AE">
      <w:start w:val="1"/>
      <w:numFmt w:val="decimal"/>
      <w:lvlText w:val="%1)"/>
      <w:lvlJc w:val="left"/>
      <w:pPr>
        <w:ind w:left="10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357100D7"/>
    <w:multiLevelType w:val="hybridMultilevel"/>
    <w:tmpl w:val="083EA712"/>
    <w:lvl w:ilvl="0" w:tplc="058896D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3B606FE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A153B"/>
    <w:multiLevelType w:val="hybridMultilevel"/>
    <w:tmpl w:val="596C0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4CF8"/>
    <w:multiLevelType w:val="hybridMultilevel"/>
    <w:tmpl w:val="B7721D32"/>
    <w:lvl w:ilvl="0" w:tplc="A5262DA0">
      <w:start w:val="1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" w15:restartNumberingAfterBreak="0">
    <w:nsid w:val="6B4B5CB4"/>
    <w:multiLevelType w:val="hybridMultilevel"/>
    <w:tmpl w:val="2CE00B24"/>
    <w:lvl w:ilvl="0" w:tplc="CCDE16AC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C7345AF"/>
    <w:multiLevelType w:val="hybridMultilevel"/>
    <w:tmpl w:val="F376BF7A"/>
    <w:lvl w:ilvl="0" w:tplc="06C062DC">
      <w:start w:val="1"/>
      <w:numFmt w:val="lowerLetter"/>
      <w:lvlText w:val="%1)"/>
      <w:lvlJc w:val="left"/>
      <w:pPr>
        <w:ind w:left="7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61"/>
    <w:rsid w:val="000012DA"/>
    <w:rsid w:val="0000246E"/>
    <w:rsid w:val="00003862"/>
    <w:rsid w:val="00003BFE"/>
    <w:rsid w:val="0001093E"/>
    <w:rsid w:val="00012A35"/>
    <w:rsid w:val="00012FAA"/>
    <w:rsid w:val="0001526D"/>
    <w:rsid w:val="0001557C"/>
    <w:rsid w:val="00016099"/>
    <w:rsid w:val="000171DF"/>
    <w:rsid w:val="00017DC2"/>
    <w:rsid w:val="00021522"/>
    <w:rsid w:val="00023471"/>
    <w:rsid w:val="00023F13"/>
    <w:rsid w:val="000249FD"/>
    <w:rsid w:val="00030634"/>
    <w:rsid w:val="000319C1"/>
    <w:rsid w:val="00031A8B"/>
    <w:rsid w:val="00031BCA"/>
    <w:rsid w:val="000330FA"/>
    <w:rsid w:val="0003362F"/>
    <w:rsid w:val="00034E2D"/>
    <w:rsid w:val="00036B63"/>
    <w:rsid w:val="00037E1A"/>
    <w:rsid w:val="000405F3"/>
    <w:rsid w:val="00043495"/>
    <w:rsid w:val="00046A75"/>
    <w:rsid w:val="00047312"/>
    <w:rsid w:val="000508BD"/>
    <w:rsid w:val="000517AB"/>
    <w:rsid w:val="00051BE9"/>
    <w:rsid w:val="000529CE"/>
    <w:rsid w:val="0005339C"/>
    <w:rsid w:val="000539F9"/>
    <w:rsid w:val="00053E4E"/>
    <w:rsid w:val="0005571B"/>
    <w:rsid w:val="00057AB3"/>
    <w:rsid w:val="00060076"/>
    <w:rsid w:val="00060432"/>
    <w:rsid w:val="00060D87"/>
    <w:rsid w:val="00060DA0"/>
    <w:rsid w:val="000615A5"/>
    <w:rsid w:val="00061AB3"/>
    <w:rsid w:val="00062E25"/>
    <w:rsid w:val="00064E4C"/>
    <w:rsid w:val="00065899"/>
    <w:rsid w:val="00066901"/>
    <w:rsid w:val="00067629"/>
    <w:rsid w:val="000716CB"/>
    <w:rsid w:val="00071BEE"/>
    <w:rsid w:val="00073080"/>
    <w:rsid w:val="000736CD"/>
    <w:rsid w:val="0007388C"/>
    <w:rsid w:val="00073C12"/>
    <w:rsid w:val="000744D5"/>
    <w:rsid w:val="0007533B"/>
    <w:rsid w:val="0007545D"/>
    <w:rsid w:val="000760BF"/>
    <w:rsid w:val="0007613E"/>
    <w:rsid w:val="00076291"/>
    <w:rsid w:val="00076BFC"/>
    <w:rsid w:val="000814A7"/>
    <w:rsid w:val="00082188"/>
    <w:rsid w:val="0008557B"/>
    <w:rsid w:val="00085CE7"/>
    <w:rsid w:val="00085D12"/>
    <w:rsid w:val="000906EE"/>
    <w:rsid w:val="00091BA2"/>
    <w:rsid w:val="000944EF"/>
    <w:rsid w:val="0009732D"/>
    <w:rsid w:val="000973F0"/>
    <w:rsid w:val="000A0002"/>
    <w:rsid w:val="000A083C"/>
    <w:rsid w:val="000A1296"/>
    <w:rsid w:val="000A1541"/>
    <w:rsid w:val="000A1C27"/>
    <w:rsid w:val="000A1DAD"/>
    <w:rsid w:val="000A2649"/>
    <w:rsid w:val="000A2A1B"/>
    <w:rsid w:val="000A323B"/>
    <w:rsid w:val="000A4E8C"/>
    <w:rsid w:val="000A6C23"/>
    <w:rsid w:val="000B298D"/>
    <w:rsid w:val="000B5B2D"/>
    <w:rsid w:val="000B5DCE"/>
    <w:rsid w:val="000B61F4"/>
    <w:rsid w:val="000C05BA"/>
    <w:rsid w:val="000C0D9A"/>
    <w:rsid w:val="000C0E8F"/>
    <w:rsid w:val="000C4BC4"/>
    <w:rsid w:val="000C4F0A"/>
    <w:rsid w:val="000D0110"/>
    <w:rsid w:val="000D0F6A"/>
    <w:rsid w:val="000D2468"/>
    <w:rsid w:val="000D2DE6"/>
    <w:rsid w:val="000D318A"/>
    <w:rsid w:val="000D6173"/>
    <w:rsid w:val="000D6F83"/>
    <w:rsid w:val="000E11D9"/>
    <w:rsid w:val="000E252A"/>
    <w:rsid w:val="000E25CC"/>
    <w:rsid w:val="000E3694"/>
    <w:rsid w:val="000E3A62"/>
    <w:rsid w:val="000E490F"/>
    <w:rsid w:val="000E4B15"/>
    <w:rsid w:val="000E6241"/>
    <w:rsid w:val="000F0EEE"/>
    <w:rsid w:val="000F0F45"/>
    <w:rsid w:val="000F2BE3"/>
    <w:rsid w:val="000F3D0D"/>
    <w:rsid w:val="000F6ED4"/>
    <w:rsid w:val="000F7A6E"/>
    <w:rsid w:val="00102E23"/>
    <w:rsid w:val="001042BA"/>
    <w:rsid w:val="001042C5"/>
    <w:rsid w:val="0010579E"/>
    <w:rsid w:val="00106D03"/>
    <w:rsid w:val="00110465"/>
    <w:rsid w:val="00110628"/>
    <w:rsid w:val="00110CEB"/>
    <w:rsid w:val="0011245A"/>
    <w:rsid w:val="00113DEA"/>
    <w:rsid w:val="0011493E"/>
    <w:rsid w:val="00115B72"/>
    <w:rsid w:val="00116229"/>
    <w:rsid w:val="00116F75"/>
    <w:rsid w:val="00117C3B"/>
    <w:rsid w:val="001209EC"/>
    <w:rsid w:val="00120A9E"/>
    <w:rsid w:val="00120CE0"/>
    <w:rsid w:val="001221A3"/>
    <w:rsid w:val="0012412D"/>
    <w:rsid w:val="00125A9C"/>
    <w:rsid w:val="0012683F"/>
    <w:rsid w:val="001270A2"/>
    <w:rsid w:val="0012720C"/>
    <w:rsid w:val="0013112B"/>
    <w:rsid w:val="00131237"/>
    <w:rsid w:val="001329AC"/>
    <w:rsid w:val="00134CA0"/>
    <w:rsid w:val="00135346"/>
    <w:rsid w:val="0013580E"/>
    <w:rsid w:val="00135E92"/>
    <w:rsid w:val="0014026F"/>
    <w:rsid w:val="00141444"/>
    <w:rsid w:val="00141F58"/>
    <w:rsid w:val="00142793"/>
    <w:rsid w:val="0014358B"/>
    <w:rsid w:val="00147A47"/>
    <w:rsid w:val="00147AA1"/>
    <w:rsid w:val="001520CF"/>
    <w:rsid w:val="001557D5"/>
    <w:rsid w:val="0015667C"/>
    <w:rsid w:val="0015668B"/>
    <w:rsid w:val="00156765"/>
    <w:rsid w:val="00157110"/>
    <w:rsid w:val="0015742A"/>
    <w:rsid w:val="00157DA1"/>
    <w:rsid w:val="001622AB"/>
    <w:rsid w:val="00163147"/>
    <w:rsid w:val="00164054"/>
    <w:rsid w:val="00164149"/>
    <w:rsid w:val="00164C57"/>
    <w:rsid w:val="00164C9D"/>
    <w:rsid w:val="001676EF"/>
    <w:rsid w:val="00172F7A"/>
    <w:rsid w:val="00173150"/>
    <w:rsid w:val="00173390"/>
    <w:rsid w:val="001736F0"/>
    <w:rsid w:val="00173BB3"/>
    <w:rsid w:val="001740D0"/>
    <w:rsid w:val="00174591"/>
    <w:rsid w:val="00174F2C"/>
    <w:rsid w:val="001759C6"/>
    <w:rsid w:val="00176EA7"/>
    <w:rsid w:val="00180F1F"/>
    <w:rsid w:val="00180F2A"/>
    <w:rsid w:val="001816BF"/>
    <w:rsid w:val="00181BC1"/>
    <w:rsid w:val="00184B91"/>
    <w:rsid w:val="00184D4A"/>
    <w:rsid w:val="00186EC1"/>
    <w:rsid w:val="001901F8"/>
    <w:rsid w:val="00191C9F"/>
    <w:rsid w:val="00191E1F"/>
    <w:rsid w:val="00193496"/>
    <w:rsid w:val="0019473B"/>
    <w:rsid w:val="001952B1"/>
    <w:rsid w:val="00196E39"/>
    <w:rsid w:val="00197649"/>
    <w:rsid w:val="001A01FB"/>
    <w:rsid w:val="001A0FF0"/>
    <w:rsid w:val="001A10E9"/>
    <w:rsid w:val="001A183D"/>
    <w:rsid w:val="001A2B65"/>
    <w:rsid w:val="001A3CD3"/>
    <w:rsid w:val="001A555D"/>
    <w:rsid w:val="001A5BEF"/>
    <w:rsid w:val="001A695D"/>
    <w:rsid w:val="001A7F15"/>
    <w:rsid w:val="001B178F"/>
    <w:rsid w:val="001B342E"/>
    <w:rsid w:val="001B48BC"/>
    <w:rsid w:val="001B68E4"/>
    <w:rsid w:val="001C155F"/>
    <w:rsid w:val="001C1832"/>
    <w:rsid w:val="001C188C"/>
    <w:rsid w:val="001C18E7"/>
    <w:rsid w:val="001C2B03"/>
    <w:rsid w:val="001C5990"/>
    <w:rsid w:val="001C5CC1"/>
    <w:rsid w:val="001D1783"/>
    <w:rsid w:val="001D4254"/>
    <w:rsid w:val="001D53CD"/>
    <w:rsid w:val="001D55A3"/>
    <w:rsid w:val="001D5AF5"/>
    <w:rsid w:val="001E07D1"/>
    <w:rsid w:val="001E0F58"/>
    <w:rsid w:val="001E1733"/>
    <w:rsid w:val="001E1E73"/>
    <w:rsid w:val="001E4460"/>
    <w:rsid w:val="001E4DCE"/>
    <w:rsid w:val="001E4E0C"/>
    <w:rsid w:val="001E526D"/>
    <w:rsid w:val="001E5655"/>
    <w:rsid w:val="001E6334"/>
    <w:rsid w:val="001E781D"/>
    <w:rsid w:val="001F1832"/>
    <w:rsid w:val="001F220F"/>
    <w:rsid w:val="001F25B3"/>
    <w:rsid w:val="001F4E57"/>
    <w:rsid w:val="001F6616"/>
    <w:rsid w:val="002015C4"/>
    <w:rsid w:val="00202BD4"/>
    <w:rsid w:val="00204A97"/>
    <w:rsid w:val="00205BC0"/>
    <w:rsid w:val="002072C7"/>
    <w:rsid w:val="002102BB"/>
    <w:rsid w:val="0021045D"/>
    <w:rsid w:val="00210CB5"/>
    <w:rsid w:val="002114EF"/>
    <w:rsid w:val="00215D00"/>
    <w:rsid w:val="002166AD"/>
    <w:rsid w:val="00216AA5"/>
    <w:rsid w:val="00217871"/>
    <w:rsid w:val="00221ED8"/>
    <w:rsid w:val="002231EA"/>
    <w:rsid w:val="00223FDF"/>
    <w:rsid w:val="00225725"/>
    <w:rsid w:val="00225EB7"/>
    <w:rsid w:val="00226EE4"/>
    <w:rsid w:val="002279C0"/>
    <w:rsid w:val="0023501A"/>
    <w:rsid w:val="00235789"/>
    <w:rsid w:val="00236CD5"/>
    <w:rsid w:val="0023727E"/>
    <w:rsid w:val="00242081"/>
    <w:rsid w:val="00243777"/>
    <w:rsid w:val="002441CD"/>
    <w:rsid w:val="0024587F"/>
    <w:rsid w:val="002467F9"/>
    <w:rsid w:val="00246C69"/>
    <w:rsid w:val="002501A3"/>
    <w:rsid w:val="0025166C"/>
    <w:rsid w:val="00252770"/>
    <w:rsid w:val="00253B26"/>
    <w:rsid w:val="002555D4"/>
    <w:rsid w:val="002570B2"/>
    <w:rsid w:val="002578C9"/>
    <w:rsid w:val="00261A16"/>
    <w:rsid w:val="00263522"/>
    <w:rsid w:val="00264EC6"/>
    <w:rsid w:val="00271013"/>
    <w:rsid w:val="0027251E"/>
    <w:rsid w:val="002735EF"/>
    <w:rsid w:val="00273FE4"/>
    <w:rsid w:val="002765B4"/>
    <w:rsid w:val="00276A94"/>
    <w:rsid w:val="00277D18"/>
    <w:rsid w:val="002807A8"/>
    <w:rsid w:val="00281AED"/>
    <w:rsid w:val="00282731"/>
    <w:rsid w:val="00284DC1"/>
    <w:rsid w:val="002869B0"/>
    <w:rsid w:val="002871F6"/>
    <w:rsid w:val="00291D78"/>
    <w:rsid w:val="0029405D"/>
    <w:rsid w:val="00294FA6"/>
    <w:rsid w:val="0029546F"/>
    <w:rsid w:val="00295A6F"/>
    <w:rsid w:val="00296D6A"/>
    <w:rsid w:val="002970C6"/>
    <w:rsid w:val="00297102"/>
    <w:rsid w:val="00297180"/>
    <w:rsid w:val="002A20C4"/>
    <w:rsid w:val="002A570F"/>
    <w:rsid w:val="002A5E2F"/>
    <w:rsid w:val="002A70BE"/>
    <w:rsid w:val="002A7292"/>
    <w:rsid w:val="002A7358"/>
    <w:rsid w:val="002A7902"/>
    <w:rsid w:val="002B0296"/>
    <w:rsid w:val="002B0F6B"/>
    <w:rsid w:val="002B1D32"/>
    <w:rsid w:val="002B23B8"/>
    <w:rsid w:val="002B2BDE"/>
    <w:rsid w:val="002B4429"/>
    <w:rsid w:val="002B4C9B"/>
    <w:rsid w:val="002B5D45"/>
    <w:rsid w:val="002B68A6"/>
    <w:rsid w:val="002B7FAF"/>
    <w:rsid w:val="002C49DD"/>
    <w:rsid w:val="002C57EA"/>
    <w:rsid w:val="002C5AFE"/>
    <w:rsid w:val="002C64E0"/>
    <w:rsid w:val="002D0C4F"/>
    <w:rsid w:val="002D1364"/>
    <w:rsid w:val="002D4379"/>
    <w:rsid w:val="002D4D30"/>
    <w:rsid w:val="002D5000"/>
    <w:rsid w:val="002D598D"/>
    <w:rsid w:val="002D7188"/>
    <w:rsid w:val="002E029B"/>
    <w:rsid w:val="002E1DE3"/>
    <w:rsid w:val="002E2AB6"/>
    <w:rsid w:val="002E3F34"/>
    <w:rsid w:val="002E4476"/>
    <w:rsid w:val="002E5F79"/>
    <w:rsid w:val="002E64CA"/>
    <w:rsid w:val="002E64FA"/>
    <w:rsid w:val="002E714B"/>
    <w:rsid w:val="002E7A81"/>
    <w:rsid w:val="002F0A00"/>
    <w:rsid w:val="002F0CFA"/>
    <w:rsid w:val="002F12EA"/>
    <w:rsid w:val="002F6453"/>
    <w:rsid w:val="002F669F"/>
    <w:rsid w:val="00301C97"/>
    <w:rsid w:val="00302499"/>
    <w:rsid w:val="0030398C"/>
    <w:rsid w:val="003039AE"/>
    <w:rsid w:val="00305141"/>
    <w:rsid w:val="003056EE"/>
    <w:rsid w:val="0031004C"/>
    <w:rsid w:val="003105F6"/>
    <w:rsid w:val="00310775"/>
    <w:rsid w:val="00311297"/>
    <w:rsid w:val="003113BE"/>
    <w:rsid w:val="003122CA"/>
    <w:rsid w:val="003148FD"/>
    <w:rsid w:val="00315A72"/>
    <w:rsid w:val="00315A9E"/>
    <w:rsid w:val="00320634"/>
    <w:rsid w:val="00321080"/>
    <w:rsid w:val="00322D45"/>
    <w:rsid w:val="0032569A"/>
    <w:rsid w:val="00325A1F"/>
    <w:rsid w:val="003268F9"/>
    <w:rsid w:val="003270A3"/>
    <w:rsid w:val="00327DB3"/>
    <w:rsid w:val="00330BAF"/>
    <w:rsid w:val="003319B7"/>
    <w:rsid w:val="00334E3A"/>
    <w:rsid w:val="00335969"/>
    <w:rsid w:val="00335DFE"/>
    <w:rsid w:val="003361DD"/>
    <w:rsid w:val="003363DA"/>
    <w:rsid w:val="00341A6A"/>
    <w:rsid w:val="00341AD1"/>
    <w:rsid w:val="00343097"/>
    <w:rsid w:val="00343341"/>
    <w:rsid w:val="003451F2"/>
    <w:rsid w:val="00345B9C"/>
    <w:rsid w:val="00352254"/>
    <w:rsid w:val="00352DAE"/>
    <w:rsid w:val="003541C5"/>
    <w:rsid w:val="00354EB9"/>
    <w:rsid w:val="0035783F"/>
    <w:rsid w:val="003602AE"/>
    <w:rsid w:val="00360371"/>
    <w:rsid w:val="00360929"/>
    <w:rsid w:val="003644BD"/>
    <w:rsid w:val="00364541"/>
    <w:rsid w:val="003647D5"/>
    <w:rsid w:val="00364A35"/>
    <w:rsid w:val="00365BB6"/>
    <w:rsid w:val="003662C6"/>
    <w:rsid w:val="003674B0"/>
    <w:rsid w:val="00367F2F"/>
    <w:rsid w:val="0037360E"/>
    <w:rsid w:val="0037727C"/>
    <w:rsid w:val="00377E70"/>
    <w:rsid w:val="00377FD6"/>
    <w:rsid w:val="00380904"/>
    <w:rsid w:val="00381A03"/>
    <w:rsid w:val="003821FE"/>
    <w:rsid w:val="003823EE"/>
    <w:rsid w:val="00382960"/>
    <w:rsid w:val="003838CB"/>
    <w:rsid w:val="003846F7"/>
    <w:rsid w:val="00384DB6"/>
    <w:rsid w:val="003851ED"/>
    <w:rsid w:val="00385B39"/>
    <w:rsid w:val="00385BC1"/>
    <w:rsid w:val="00386785"/>
    <w:rsid w:val="00386A67"/>
    <w:rsid w:val="0038757D"/>
    <w:rsid w:val="003906B1"/>
    <w:rsid w:val="00390E89"/>
    <w:rsid w:val="00391B1A"/>
    <w:rsid w:val="00394423"/>
    <w:rsid w:val="00396942"/>
    <w:rsid w:val="00396B49"/>
    <w:rsid w:val="00396E3E"/>
    <w:rsid w:val="00397733"/>
    <w:rsid w:val="003A2F9A"/>
    <w:rsid w:val="003A3041"/>
    <w:rsid w:val="003A306E"/>
    <w:rsid w:val="003A60DC"/>
    <w:rsid w:val="003A6945"/>
    <w:rsid w:val="003A6A46"/>
    <w:rsid w:val="003A7A63"/>
    <w:rsid w:val="003B000C"/>
    <w:rsid w:val="003B0F1D"/>
    <w:rsid w:val="003B370A"/>
    <w:rsid w:val="003B4331"/>
    <w:rsid w:val="003B4A57"/>
    <w:rsid w:val="003B58CE"/>
    <w:rsid w:val="003B61DC"/>
    <w:rsid w:val="003C0AD9"/>
    <w:rsid w:val="003C0ED0"/>
    <w:rsid w:val="003C1D49"/>
    <w:rsid w:val="003C343A"/>
    <w:rsid w:val="003C35C4"/>
    <w:rsid w:val="003C36B2"/>
    <w:rsid w:val="003C511B"/>
    <w:rsid w:val="003C7C41"/>
    <w:rsid w:val="003D12C2"/>
    <w:rsid w:val="003D2AAD"/>
    <w:rsid w:val="003D31B9"/>
    <w:rsid w:val="003D3679"/>
    <w:rsid w:val="003D3867"/>
    <w:rsid w:val="003E08EA"/>
    <w:rsid w:val="003E0D1A"/>
    <w:rsid w:val="003E0D72"/>
    <w:rsid w:val="003E275D"/>
    <w:rsid w:val="003E2DA3"/>
    <w:rsid w:val="003E6FA1"/>
    <w:rsid w:val="003F020D"/>
    <w:rsid w:val="003F03D9"/>
    <w:rsid w:val="003F194B"/>
    <w:rsid w:val="003F2FBE"/>
    <w:rsid w:val="003F318D"/>
    <w:rsid w:val="003F5BAE"/>
    <w:rsid w:val="003F6ED7"/>
    <w:rsid w:val="00401C84"/>
    <w:rsid w:val="00401D5A"/>
    <w:rsid w:val="00403210"/>
    <w:rsid w:val="004035BB"/>
    <w:rsid w:val="004035EB"/>
    <w:rsid w:val="004040EB"/>
    <w:rsid w:val="00407332"/>
    <w:rsid w:val="00407828"/>
    <w:rsid w:val="004078EE"/>
    <w:rsid w:val="00413D8E"/>
    <w:rsid w:val="004140F2"/>
    <w:rsid w:val="0041662D"/>
    <w:rsid w:val="0041722A"/>
    <w:rsid w:val="00417B22"/>
    <w:rsid w:val="00421085"/>
    <w:rsid w:val="0042465E"/>
    <w:rsid w:val="00424DF7"/>
    <w:rsid w:val="004311E9"/>
    <w:rsid w:val="00431D0A"/>
    <w:rsid w:val="00432A97"/>
    <w:rsid w:val="00432B76"/>
    <w:rsid w:val="004332B5"/>
    <w:rsid w:val="00433EB1"/>
    <w:rsid w:val="00434D01"/>
    <w:rsid w:val="00435D26"/>
    <w:rsid w:val="0043686C"/>
    <w:rsid w:val="004401FD"/>
    <w:rsid w:val="00440C99"/>
    <w:rsid w:val="0044175C"/>
    <w:rsid w:val="004425CD"/>
    <w:rsid w:val="00445F4D"/>
    <w:rsid w:val="00447C65"/>
    <w:rsid w:val="004504C0"/>
    <w:rsid w:val="00450E72"/>
    <w:rsid w:val="00451B5E"/>
    <w:rsid w:val="004528F7"/>
    <w:rsid w:val="00453255"/>
    <w:rsid w:val="004550FB"/>
    <w:rsid w:val="00456819"/>
    <w:rsid w:val="0046111A"/>
    <w:rsid w:val="004628BE"/>
    <w:rsid w:val="00462946"/>
    <w:rsid w:val="00463F43"/>
    <w:rsid w:val="004643C8"/>
    <w:rsid w:val="00464B94"/>
    <w:rsid w:val="004653A8"/>
    <w:rsid w:val="00465A0B"/>
    <w:rsid w:val="00465C77"/>
    <w:rsid w:val="0046613A"/>
    <w:rsid w:val="0047077C"/>
    <w:rsid w:val="00470B05"/>
    <w:rsid w:val="00470B7C"/>
    <w:rsid w:val="00470F75"/>
    <w:rsid w:val="0047207C"/>
    <w:rsid w:val="00472CD6"/>
    <w:rsid w:val="00474E3C"/>
    <w:rsid w:val="00477477"/>
    <w:rsid w:val="00480A58"/>
    <w:rsid w:val="00482151"/>
    <w:rsid w:val="00485FAD"/>
    <w:rsid w:val="00487AED"/>
    <w:rsid w:val="00491EDF"/>
    <w:rsid w:val="00492A3F"/>
    <w:rsid w:val="004930A8"/>
    <w:rsid w:val="00494F62"/>
    <w:rsid w:val="00495D2F"/>
    <w:rsid w:val="00497883"/>
    <w:rsid w:val="00497DD6"/>
    <w:rsid w:val="004A2001"/>
    <w:rsid w:val="004A3590"/>
    <w:rsid w:val="004B00A7"/>
    <w:rsid w:val="004B0159"/>
    <w:rsid w:val="004B25E2"/>
    <w:rsid w:val="004B2809"/>
    <w:rsid w:val="004B3347"/>
    <w:rsid w:val="004B34D7"/>
    <w:rsid w:val="004B5037"/>
    <w:rsid w:val="004B5B2F"/>
    <w:rsid w:val="004B626A"/>
    <w:rsid w:val="004B660E"/>
    <w:rsid w:val="004B6DD2"/>
    <w:rsid w:val="004C05BD"/>
    <w:rsid w:val="004C083E"/>
    <w:rsid w:val="004C0904"/>
    <w:rsid w:val="004C1EEB"/>
    <w:rsid w:val="004C3B06"/>
    <w:rsid w:val="004C3F97"/>
    <w:rsid w:val="004C5CDC"/>
    <w:rsid w:val="004C7EE7"/>
    <w:rsid w:val="004D0E9E"/>
    <w:rsid w:val="004D18DB"/>
    <w:rsid w:val="004D2DEE"/>
    <w:rsid w:val="004D2E1F"/>
    <w:rsid w:val="004D7FD9"/>
    <w:rsid w:val="004E1324"/>
    <w:rsid w:val="004E19A5"/>
    <w:rsid w:val="004E217A"/>
    <w:rsid w:val="004E37E5"/>
    <w:rsid w:val="004E3C03"/>
    <w:rsid w:val="004E3CE8"/>
    <w:rsid w:val="004E3FDB"/>
    <w:rsid w:val="004E4F24"/>
    <w:rsid w:val="004E60E7"/>
    <w:rsid w:val="004E6B20"/>
    <w:rsid w:val="004E6D4B"/>
    <w:rsid w:val="004F06D9"/>
    <w:rsid w:val="004F1F4A"/>
    <w:rsid w:val="004F296D"/>
    <w:rsid w:val="004F2E62"/>
    <w:rsid w:val="004F43EE"/>
    <w:rsid w:val="004F4D73"/>
    <w:rsid w:val="004F508B"/>
    <w:rsid w:val="004F695F"/>
    <w:rsid w:val="004F6CA4"/>
    <w:rsid w:val="00500752"/>
    <w:rsid w:val="00501053"/>
    <w:rsid w:val="00501782"/>
    <w:rsid w:val="00501A50"/>
    <w:rsid w:val="0050222D"/>
    <w:rsid w:val="00503708"/>
    <w:rsid w:val="00503AF3"/>
    <w:rsid w:val="00505AEA"/>
    <w:rsid w:val="0050696D"/>
    <w:rsid w:val="0051094B"/>
    <w:rsid w:val="005110D7"/>
    <w:rsid w:val="00511D99"/>
    <w:rsid w:val="005120FB"/>
    <w:rsid w:val="005128D3"/>
    <w:rsid w:val="00512E8C"/>
    <w:rsid w:val="005147E8"/>
    <w:rsid w:val="005158F2"/>
    <w:rsid w:val="0052111F"/>
    <w:rsid w:val="00522516"/>
    <w:rsid w:val="00522B9F"/>
    <w:rsid w:val="00523619"/>
    <w:rsid w:val="00526DFC"/>
    <w:rsid w:val="00526F43"/>
    <w:rsid w:val="00527651"/>
    <w:rsid w:val="0053063B"/>
    <w:rsid w:val="0053261F"/>
    <w:rsid w:val="005363AB"/>
    <w:rsid w:val="00544EF4"/>
    <w:rsid w:val="00545075"/>
    <w:rsid w:val="005453F8"/>
    <w:rsid w:val="00545E53"/>
    <w:rsid w:val="005470B7"/>
    <w:rsid w:val="005479D9"/>
    <w:rsid w:val="005543D8"/>
    <w:rsid w:val="005544B2"/>
    <w:rsid w:val="00555704"/>
    <w:rsid w:val="005571A3"/>
    <w:rsid w:val="005572BD"/>
    <w:rsid w:val="00557A12"/>
    <w:rsid w:val="005604AE"/>
    <w:rsid w:val="00560AC7"/>
    <w:rsid w:val="00560F05"/>
    <w:rsid w:val="005610DD"/>
    <w:rsid w:val="00561AFB"/>
    <w:rsid w:val="00561FA8"/>
    <w:rsid w:val="005635ED"/>
    <w:rsid w:val="00564CEE"/>
    <w:rsid w:val="00565253"/>
    <w:rsid w:val="00565694"/>
    <w:rsid w:val="005662E6"/>
    <w:rsid w:val="00570191"/>
    <w:rsid w:val="00570570"/>
    <w:rsid w:val="00570AB9"/>
    <w:rsid w:val="00572512"/>
    <w:rsid w:val="00573ACC"/>
    <w:rsid w:val="00573BB2"/>
    <w:rsid w:val="00573EE6"/>
    <w:rsid w:val="0057547F"/>
    <w:rsid w:val="005754EE"/>
    <w:rsid w:val="0057576F"/>
    <w:rsid w:val="0057617E"/>
    <w:rsid w:val="00576497"/>
    <w:rsid w:val="00576BE9"/>
    <w:rsid w:val="005776C7"/>
    <w:rsid w:val="00580376"/>
    <w:rsid w:val="0058248C"/>
    <w:rsid w:val="005825C7"/>
    <w:rsid w:val="00582A69"/>
    <w:rsid w:val="005835E7"/>
    <w:rsid w:val="0058397F"/>
    <w:rsid w:val="00583BF8"/>
    <w:rsid w:val="00585207"/>
    <w:rsid w:val="00585F33"/>
    <w:rsid w:val="00591124"/>
    <w:rsid w:val="00592535"/>
    <w:rsid w:val="00594444"/>
    <w:rsid w:val="00594F2F"/>
    <w:rsid w:val="00597024"/>
    <w:rsid w:val="005A0274"/>
    <w:rsid w:val="005A0777"/>
    <w:rsid w:val="005A095C"/>
    <w:rsid w:val="005A1CAF"/>
    <w:rsid w:val="005A3EC9"/>
    <w:rsid w:val="005A4A72"/>
    <w:rsid w:val="005A669D"/>
    <w:rsid w:val="005A75D8"/>
    <w:rsid w:val="005A7E58"/>
    <w:rsid w:val="005B3F33"/>
    <w:rsid w:val="005B4C89"/>
    <w:rsid w:val="005B4F71"/>
    <w:rsid w:val="005B597A"/>
    <w:rsid w:val="005B713E"/>
    <w:rsid w:val="005C03B6"/>
    <w:rsid w:val="005C269D"/>
    <w:rsid w:val="005C348E"/>
    <w:rsid w:val="005C3DB4"/>
    <w:rsid w:val="005C68E1"/>
    <w:rsid w:val="005D199E"/>
    <w:rsid w:val="005D3763"/>
    <w:rsid w:val="005D4664"/>
    <w:rsid w:val="005D55E1"/>
    <w:rsid w:val="005D64C3"/>
    <w:rsid w:val="005E00C1"/>
    <w:rsid w:val="005E15E6"/>
    <w:rsid w:val="005E19F7"/>
    <w:rsid w:val="005E2754"/>
    <w:rsid w:val="005E4813"/>
    <w:rsid w:val="005E4E82"/>
    <w:rsid w:val="005E4F04"/>
    <w:rsid w:val="005E5BBC"/>
    <w:rsid w:val="005E62C2"/>
    <w:rsid w:val="005E6C71"/>
    <w:rsid w:val="005F0963"/>
    <w:rsid w:val="005F2824"/>
    <w:rsid w:val="005F2EBA"/>
    <w:rsid w:val="005F317D"/>
    <w:rsid w:val="005F35ED"/>
    <w:rsid w:val="005F471D"/>
    <w:rsid w:val="005F5569"/>
    <w:rsid w:val="005F7812"/>
    <w:rsid w:val="005F7A88"/>
    <w:rsid w:val="0060014D"/>
    <w:rsid w:val="006021A3"/>
    <w:rsid w:val="00603A1A"/>
    <w:rsid w:val="00603CF8"/>
    <w:rsid w:val="00604294"/>
    <w:rsid w:val="006046D5"/>
    <w:rsid w:val="00604BBC"/>
    <w:rsid w:val="006061F1"/>
    <w:rsid w:val="00607A93"/>
    <w:rsid w:val="00610C08"/>
    <w:rsid w:val="0061122B"/>
    <w:rsid w:val="00611F74"/>
    <w:rsid w:val="006138F6"/>
    <w:rsid w:val="00614BB0"/>
    <w:rsid w:val="00615772"/>
    <w:rsid w:val="00617440"/>
    <w:rsid w:val="00621256"/>
    <w:rsid w:val="00621FCC"/>
    <w:rsid w:val="00622E4B"/>
    <w:rsid w:val="006239E9"/>
    <w:rsid w:val="0062424C"/>
    <w:rsid w:val="0062539F"/>
    <w:rsid w:val="00625443"/>
    <w:rsid w:val="00626088"/>
    <w:rsid w:val="00627410"/>
    <w:rsid w:val="006333DA"/>
    <w:rsid w:val="006344E6"/>
    <w:rsid w:val="00635134"/>
    <w:rsid w:val="006356E2"/>
    <w:rsid w:val="00640541"/>
    <w:rsid w:val="00640FDB"/>
    <w:rsid w:val="00642A65"/>
    <w:rsid w:val="00645DCE"/>
    <w:rsid w:val="006465AC"/>
    <w:rsid w:val="006465BF"/>
    <w:rsid w:val="006468E3"/>
    <w:rsid w:val="00647854"/>
    <w:rsid w:val="00647A56"/>
    <w:rsid w:val="0065106B"/>
    <w:rsid w:val="00651B5D"/>
    <w:rsid w:val="00653B22"/>
    <w:rsid w:val="00654D01"/>
    <w:rsid w:val="00657BF4"/>
    <w:rsid w:val="00660189"/>
    <w:rsid w:val="006603FB"/>
    <w:rsid w:val="006608DF"/>
    <w:rsid w:val="006623AC"/>
    <w:rsid w:val="0066284C"/>
    <w:rsid w:val="00664884"/>
    <w:rsid w:val="00664EB3"/>
    <w:rsid w:val="0066506E"/>
    <w:rsid w:val="006657BA"/>
    <w:rsid w:val="00666A89"/>
    <w:rsid w:val="00666EB6"/>
    <w:rsid w:val="006678AF"/>
    <w:rsid w:val="00667C27"/>
    <w:rsid w:val="006701EF"/>
    <w:rsid w:val="00671AFA"/>
    <w:rsid w:val="00673BA5"/>
    <w:rsid w:val="00674A49"/>
    <w:rsid w:val="00674AB3"/>
    <w:rsid w:val="00674AF7"/>
    <w:rsid w:val="0067581A"/>
    <w:rsid w:val="00676FF1"/>
    <w:rsid w:val="00677BFF"/>
    <w:rsid w:val="00677DA1"/>
    <w:rsid w:val="00680058"/>
    <w:rsid w:val="00681322"/>
    <w:rsid w:val="00681F9F"/>
    <w:rsid w:val="00683AA2"/>
    <w:rsid w:val="006840EA"/>
    <w:rsid w:val="006844E2"/>
    <w:rsid w:val="00685267"/>
    <w:rsid w:val="006872AE"/>
    <w:rsid w:val="006875BA"/>
    <w:rsid w:val="006878B1"/>
    <w:rsid w:val="00690082"/>
    <w:rsid w:val="00690252"/>
    <w:rsid w:val="00693A8A"/>
    <w:rsid w:val="006946BB"/>
    <w:rsid w:val="006969FA"/>
    <w:rsid w:val="006A0051"/>
    <w:rsid w:val="006A1285"/>
    <w:rsid w:val="006A2EB5"/>
    <w:rsid w:val="006A35D5"/>
    <w:rsid w:val="006A5A9D"/>
    <w:rsid w:val="006A748A"/>
    <w:rsid w:val="006B1990"/>
    <w:rsid w:val="006B402C"/>
    <w:rsid w:val="006B4736"/>
    <w:rsid w:val="006B4C43"/>
    <w:rsid w:val="006B4FAD"/>
    <w:rsid w:val="006B5F9F"/>
    <w:rsid w:val="006B6603"/>
    <w:rsid w:val="006C3B11"/>
    <w:rsid w:val="006C419E"/>
    <w:rsid w:val="006C4A31"/>
    <w:rsid w:val="006C558E"/>
    <w:rsid w:val="006C5788"/>
    <w:rsid w:val="006C5AC2"/>
    <w:rsid w:val="006C6AFB"/>
    <w:rsid w:val="006D0C4B"/>
    <w:rsid w:val="006D1072"/>
    <w:rsid w:val="006D2735"/>
    <w:rsid w:val="006D2890"/>
    <w:rsid w:val="006D36A1"/>
    <w:rsid w:val="006D45B2"/>
    <w:rsid w:val="006E0FCC"/>
    <w:rsid w:val="006E100C"/>
    <w:rsid w:val="006E178F"/>
    <w:rsid w:val="006E1E96"/>
    <w:rsid w:val="006E5E21"/>
    <w:rsid w:val="006F0608"/>
    <w:rsid w:val="006F13EE"/>
    <w:rsid w:val="006F1420"/>
    <w:rsid w:val="006F2648"/>
    <w:rsid w:val="006F2F10"/>
    <w:rsid w:val="006F3E9E"/>
    <w:rsid w:val="006F482B"/>
    <w:rsid w:val="006F6311"/>
    <w:rsid w:val="006F6B95"/>
    <w:rsid w:val="00701952"/>
    <w:rsid w:val="00701FD9"/>
    <w:rsid w:val="00702556"/>
    <w:rsid w:val="0070277E"/>
    <w:rsid w:val="00703283"/>
    <w:rsid w:val="00704156"/>
    <w:rsid w:val="00704453"/>
    <w:rsid w:val="007069FC"/>
    <w:rsid w:val="00711221"/>
    <w:rsid w:val="00712549"/>
    <w:rsid w:val="00712675"/>
    <w:rsid w:val="007131AA"/>
    <w:rsid w:val="007132D1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4E2"/>
    <w:rsid w:val="00722A67"/>
    <w:rsid w:val="007234BA"/>
    <w:rsid w:val="007239A3"/>
    <w:rsid w:val="00724295"/>
    <w:rsid w:val="0072457F"/>
    <w:rsid w:val="00725406"/>
    <w:rsid w:val="0072621B"/>
    <w:rsid w:val="00727DDA"/>
    <w:rsid w:val="00727F5A"/>
    <w:rsid w:val="00730555"/>
    <w:rsid w:val="007312CC"/>
    <w:rsid w:val="00736A64"/>
    <w:rsid w:val="00737F6A"/>
    <w:rsid w:val="00740345"/>
    <w:rsid w:val="007410B6"/>
    <w:rsid w:val="00744C6F"/>
    <w:rsid w:val="007457F6"/>
    <w:rsid w:val="00745ABB"/>
    <w:rsid w:val="00746E38"/>
    <w:rsid w:val="00747CD5"/>
    <w:rsid w:val="00753B51"/>
    <w:rsid w:val="00754C6D"/>
    <w:rsid w:val="00756629"/>
    <w:rsid w:val="007575D2"/>
    <w:rsid w:val="00757B4F"/>
    <w:rsid w:val="00757B6A"/>
    <w:rsid w:val="007610E0"/>
    <w:rsid w:val="0076193D"/>
    <w:rsid w:val="007621AA"/>
    <w:rsid w:val="0076260A"/>
    <w:rsid w:val="007627AB"/>
    <w:rsid w:val="00764A67"/>
    <w:rsid w:val="007670DB"/>
    <w:rsid w:val="00770BF7"/>
    <w:rsid w:val="00770F6B"/>
    <w:rsid w:val="00771883"/>
    <w:rsid w:val="00773546"/>
    <w:rsid w:val="007769E9"/>
    <w:rsid w:val="00776DC2"/>
    <w:rsid w:val="00776E6F"/>
    <w:rsid w:val="00780122"/>
    <w:rsid w:val="0078214B"/>
    <w:rsid w:val="0078498A"/>
    <w:rsid w:val="00784BC4"/>
    <w:rsid w:val="00790D6F"/>
    <w:rsid w:val="00792207"/>
    <w:rsid w:val="00792B64"/>
    <w:rsid w:val="00792E29"/>
    <w:rsid w:val="0079379A"/>
    <w:rsid w:val="0079476E"/>
    <w:rsid w:val="00794953"/>
    <w:rsid w:val="00796AAE"/>
    <w:rsid w:val="007A1F2F"/>
    <w:rsid w:val="007A21F5"/>
    <w:rsid w:val="007A2A5C"/>
    <w:rsid w:val="007A5150"/>
    <w:rsid w:val="007A5373"/>
    <w:rsid w:val="007A5694"/>
    <w:rsid w:val="007A656A"/>
    <w:rsid w:val="007A789F"/>
    <w:rsid w:val="007B3100"/>
    <w:rsid w:val="007B5041"/>
    <w:rsid w:val="007B7452"/>
    <w:rsid w:val="007B75BC"/>
    <w:rsid w:val="007C0BD6"/>
    <w:rsid w:val="007C3806"/>
    <w:rsid w:val="007C3887"/>
    <w:rsid w:val="007C5BB7"/>
    <w:rsid w:val="007C6B47"/>
    <w:rsid w:val="007D0147"/>
    <w:rsid w:val="007D07D5"/>
    <w:rsid w:val="007D1BD4"/>
    <w:rsid w:val="007D1C64"/>
    <w:rsid w:val="007D32DD"/>
    <w:rsid w:val="007D48EB"/>
    <w:rsid w:val="007D4D29"/>
    <w:rsid w:val="007D6DCE"/>
    <w:rsid w:val="007D72C4"/>
    <w:rsid w:val="007E18D2"/>
    <w:rsid w:val="007E2154"/>
    <w:rsid w:val="007E2CFE"/>
    <w:rsid w:val="007E49FD"/>
    <w:rsid w:val="007E59C9"/>
    <w:rsid w:val="007E75B0"/>
    <w:rsid w:val="007F0072"/>
    <w:rsid w:val="007F2A59"/>
    <w:rsid w:val="007F2EB6"/>
    <w:rsid w:val="007F3145"/>
    <w:rsid w:val="007F541B"/>
    <w:rsid w:val="007F54C3"/>
    <w:rsid w:val="007F6380"/>
    <w:rsid w:val="00800AA2"/>
    <w:rsid w:val="00802949"/>
    <w:rsid w:val="0080301E"/>
    <w:rsid w:val="00803370"/>
    <w:rsid w:val="0080365F"/>
    <w:rsid w:val="0080509E"/>
    <w:rsid w:val="00807D0C"/>
    <w:rsid w:val="008113F2"/>
    <w:rsid w:val="00812BE5"/>
    <w:rsid w:val="00812D5F"/>
    <w:rsid w:val="008133CB"/>
    <w:rsid w:val="0081481F"/>
    <w:rsid w:val="00814BED"/>
    <w:rsid w:val="00817429"/>
    <w:rsid w:val="00821514"/>
    <w:rsid w:val="00821E35"/>
    <w:rsid w:val="00824591"/>
    <w:rsid w:val="00824AED"/>
    <w:rsid w:val="00826FBA"/>
    <w:rsid w:val="008270D1"/>
    <w:rsid w:val="00827820"/>
    <w:rsid w:val="00831B8B"/>
    <w:rsid w:val="008328DF"/>
    <w:rsid w:val="0083405D"/>
    <w:rsid w:val="008352D4"/>
    <w:rsid w:val="0083643C"/>
    <w:rsid w:val="008368D8"/>
    <w:rsid w:val="00836DB9"/>
    <w:rsid w:val="00837C67"/>
    <w:rsid w:val="008401FD"/>
    <w:rsid w:val="008405CA"/>
    <w:rsid w:val="008415B0"/>
    <w:rsid w:val="00842028"/>
    <w:rsid w:val="00842810"/>
    <w:rsid w:val="008436B8"/>
    <w:rsid w:val="008460B6"/>
    <w:rsid w:val="00847951"/>
    <w:rsid w:val="008507CF"/>
    <w:rsid w:val="00850C9D"/>
    <w:rsid w:val="00851244"/>
    <w:rsid w:val="00852799"/>
    <w:rsid w:val="00852B59"/>
    <w:rsid w:val="00856272"/>
    <w:rsid w:val="008563FF"/>
    <w:rsid w:val="008578B8"/>
    <w:rsid w:val="0086018B"/>
    <w:rsid w:val="008611DD"/>
    <w:rsid w:val="00861755"/>
    <w:rsid w:val="008620DE"/>
    <w:rsid w:val="00866867"/>
    <w:rsid w:val="00871FAD"/>
    <w:rsid w:val="00872257"/>
    <w:rsid w:val="00872F32"/>
    <w:rsid w:val="008730F4"/>
    <w:rsid w:val="008738BE"/>
    <w:rsid w:val="00874D73"/>
    <w:rsid w:val="0087539D"/>
    <w:rsid w:val="008753E6"/>
    <w:rsid w:val="00875C45"/>
    <w:rsid w:val="0087738C"/>
    <w:rsid w:val="008802AF"/>
    <w:rsid w:val="00880472"/>
    <w:rsid w:val="008804FD"/>
    <w:rsid w:val="008805F9"/>
    <w:rsid w:val="00880C0E"/>
    <w:rsid w:val="00881926"/>
    <w:rsid w:val="0088318F"/>
    <w:rsid w:val="0088331D"/>
    <w:rsid w:val="008852B0"/>
    <w:rsid w:val="00885AE7"/>
    <w:rsid w:val="00886B60"/>
    <w:rsid w:val="008873B6"/>
    <w:rsid w:val="00887889"/>
    <w:rsid w:val="0088788B"/>
    <w:rsid w:val="008917DF"/>
    <w:rsid w:val="00891CFB"/>
    <w:rsid w:val="008920FF"/>
    <w:rsid w:val="00892263"/>
    <w:rsid w:val="008926E8"/>
    <w:rsid w:val="00894F19"/>
    <w:rsid w:val="00896A10"/>
    <w:rsid w:val="008971B5"/>
    <w:rsid w:val="00897DB3"/>
    <w:rsid w:val="008A5BFA"/>
    <w:rsid w:val="008A5D26"/>
    <w:rsid w:val="008A6B13"/>
    <w:rsid w:val="008A6E5A"/>
    <w:rsid w:val="008A6ECB"/>
    <w:rsid w:val="008B0BF9"/>
    <w:rsid w:val="008B2866"/>
    <w:rsid w:val="008B3859"/>
    <w:rsid w:val="008B436D"/>
    <w:rsid w:val="008B4E49"/>
    <w:rsid w:val="008B6B92"/>
    <w:rsid w:val="008B7712"/>
    <w:rsid w:val="008B7B26"/>
    <w:rsid w:val="008C17B2"/>
    <w:rsid w:val="008C3524"/>
    <w:rsid w:val="008C4061"/>
    <w:rsid w:val="008C4229"/>
    <w:rsid w:val="008C5BE0"/>
    <w:rsid w:val="008C7233"/>
    <w:rsid w:val="008C7544"/>
    <w:rsid w:val="008D0679"/>
    <w:rsid w:val="008D2434"/>
    <w:rsid w:val="008E171D"/>
    <w:rsid w:val="008E2785"/>
    <w:rsid w:val="008E4EC2"/>
    <w:rsid w:val="008E5118"/>
    <w:rsid w:val="008E6EA1"/>
    <w:rsid w:val="008E78A3"/>
    <w:rsid w:val="008F0654"/>
    <w:rsid w:val="008F06CB"/>
    <w:rsid w:val="008F207D"/>
    <w:rsid w:val="008F2E83"/>
    <w:rsid w:val="008F3ADF"/>
    <w:rsid w:val="008F612A"/>
    <w:rsid w:val="008F6B33"/>
    <w:rsid w:val="0090293D"/>
    <w:rsid w:val="009034DE"/>
    <w:rsid w:val="009049D8"/>
    <w:rsid w:val="00905396"/>
    <w:rsid w:val="0090605D"/>
    <w:rsid w:val="00906419"/>
    <w:rsid w:val="009069E2"/>
    <w:rsid w:val="00906D5D"/>
    <w:rsid w:val="00906E2B"/>
    <w:rsid w:val="00911904"/>
    <w:rsid w:val="00911A2C"/>
    <w:rsid w:val="00912889"/>
    <w:rsid w:val="00913A42"/>
    <w:rsid w:val="00914167"/>
    <w:rsid w:val="009143DB"/>
    <w:rsid w:val="00915065"/>
    <w:rsid w:val="00917CE5"/>
    <w:rsid w:val="009213FC"/>
    <w:rsid w:val="009217C0"/>
    <w:rsid w:val="00925241"/>
    <w:rsid w:val="00925CEC"/>
    <w:rsid w:val="00926A3F"/>
    <w:rsid w:val="0092794E"/>
    <w:rsid w:val="00930D30"/>
    <w:rsid w:val="00931254"/>
    <w:rsid w:val="0093152F"/>
    <w:rsid w:val="00932ABB"/>
    <w:rsid w:val="00933026"/>
    <w:rsid w:val="009332A2"/>
    <w:rsid w:val="00933321"/>
    <w:rsid w:val="00933626"/>
    <w:rsid w:val="009337AE"/>
    <w:rsid w:val="00934712"/>
    <w:rsid w:val="00934910"/>
    <w:rsid w:val="00937113"/>
    <w:rsid w:val="00937598"/>
    <w:rsid w:val="0093790B"/>
    <w:rsid w:val="00937AF1"/>
    <w:rsid w:val="00942F81"/>
    <w:rsid w:val="00943751"/>
    <w:rsid w:val="00946DD0"/>
    <w:rsid w:val="009509E6"/>
    <w:rsid w:val="00952018"/>
    <w:rsid w:val="00952639"/>
    <w:rsid w:val="00952800"/>
    <w:rsid w:val="0095300D"/>
    <w:rsid w:val="00953DB0"/>
    <w:rsid w:val="00954FD6"/>
    <w:rsid w:val="00955B15"/>
    <w:rsid w:val="00956812"/>
    <w:rsid w:val="00956A40"/>
    <w:rsid w:val="0095719A"/>
    <w:rsid w:val="009623E9"/>
    <w:rsid w:val="00963EEB"/>
    <w:rsid w:val="00964133"/>
    <w:rsid w:val="009648BC"/>
    <w:rsid w:val="00964C2F"/>
    <w:rsid w:val="00965424"/>
    <w:rsid w:val="00965F88"/>
    <w:rsid w:val="0097540F"/>
    <w:rsid w:val="0098031F"/>
    <w:rsid w:val="00980861"/>
    <w:rsid w:val="00981D78"/>
    <w:rsid w:val="00982BC6"/>
    <w:rsid w:val="00984E03"/>
    <w:rsid w:val="00987E04"/>
    <w:rsid w:val="00987E85"/>
    <w:rsid w:val="00992430"/>
    <w:rsid w:val="009949F0"/>
    <w:rsid w:val="009A0D12"/>
    <w:rsid w:val="009A1987"/>
    <w:rsid w:val="009A2BEE"/>
    <w:rsid w:val="009A368C"/>
    <w:rsid w:val="009A4148"/>
    <w:rsid w:val="009A5289"/>
    <w:rsid w:val="009A7A53"/>
    <w:rsid w:val="009B0402"/>
    <w:rsid w:val="009B0B75"/>
    <w:rsid w:val="009B16DF"/>
    <w:rsid w:val="009B23D3"/>
    <w:rsid w:val="009B4626"/>
    <w:rsid w:val="009B4CB2"/>
    <w:rsid w:val="009B5867"/>
    <w:rsid w:val="009B6701"/>
    <w:rsid w:val="009B6EF7"/>
    <w:rsid w:val="009B7000"/>
    <w:rsid w:val="009B739C"/>
    <w:rsid w:val="009C04EC"/>
    <w:rsid w:val="009C0A08"/>
    <w:rsid w:val="009C3207"/>
    <w:rsid w:val="009C328C"/>
    <w:rsid w:val="009C3FB0"/>
    <w:rsid w:val="009C4444"/>
    <w:rsid w:val="009C79AD"/>
    <w:rsid w:val="009C7CA6"/>
    <w:rsid w:val="009D2126"/>
    <w:rsid w:val="009D2C33"/>
    <w:rsid w:val="009D3238"/>
    <w:rsid w:val="009D3316"/>
    <w:rsid w:val="009D545F"/>
    <w:rsid w:val="009D55AA"/>
    <w:rsid w:val="009E04F3"/>
    <w:rsid w:val="009E1A53"/>
    <w:rsid w:val="009E3E77"/>
    <w:rsid w:val="009E3FAB"/>
    <w:rsid w:val="009E5B3F"/>
    <w:rsid w:val="009E769D"/>
    <w:rsid w:val="009E7D90"/>
    <w:rsid w:val="009F0B15"/>
    <w:rsid w:val="009F1AB0"/>
    <w:rsid w:val="009F501D"/>
    <w:rsid w:val="009F51D2"/>
    <w:rsid w:val="009F5212"/>
    <w:rsid w:val="00A010A8"/>
    <w:rsid w:val="00A017DD"/>
    <w:rsid w:val="00A039D5"/>
    <w:rsid w:val="00A03FF4"/>
    <w:rsid w:val="00A046AD"/>
    <w:rsid w:val="00A079C1"/>
    <w:rsid w:val="00A106E5"/>
    <w:rsid w:val="00A12520"/>
    <w:rsid w:val="00A130FD"/>
    <w:rsid w:val="00A13BC9"/>
    <w:rsid w:val="00A13D3F"/>
    <w:rsid w:val="00A13D6D"/>
    <w:rsid w:val="00A14769"/>
    <w:rsid w:val="00A154C5"/>
    <w:rsid w:val="00A16151"/>
    <w:rsid w:val="00A16EC6"/>
    <w:rsid w:val="00A17305"/>
    <w:rsid w:val="00A17C06"/>
    <w:rsid w:val="00A2126E"/>
    <w:rsid w:val="00A21706"/>
    <w:rsid w:val="00A24BF3"/>
    <w:rsid w:val="00A24FCC"/>
    <w:rsid w:val="00A26A90"/>
    <w:rsid w:val="00A26B27"/>
    <w:rsid w:val="00A30E4F"/>
    <w:rsid w:val="00A32253"/>
    <w:rsid w:val="00A3310E"/>
    <w:rsid w:val="00A333A0"/>
    <w:rsid w:val="00A34D31"/>
    <w:rsid w:val="00A37E70"/>
    <w:rsid w:val="00A425F7"/>
    <w:rsid w:val="00A437E1"/>
    <w:rsid w:val="00A4685E"/>
    <w:rsid w:val="00A50CD4"/>
    <w:rsid w:val="00A51191"/>
    <w:rsid w:val="00A514B2"/>
    <w:rsid w:val="00A54D51"/>
    <w:rsid w:val="00A56D62"/>
    <w:rsid w:val="00A56F07"/>
    <w:rsid w:val="00A5762C"/>
    <w:rsid w:val="00A600FC"/>
    <w:rsid w:val="00A60BCA"/>
    <w:rsid w:val="00A6125F"/>
    <w:rsid w:val="00A638DA"/>
    <w:rsid w:val="00A6569C"/>
    <w:rsid w:val="00A65B41"/>
    <w:rsid w:val="00A65E00"/>
    <w:rsid w:val="00A66A78"/>
    <w:rsid w:val="00A66BDA"/>
    <w:rsid w:val="00A67F26"/>
    <w:rsid w:val="00A72388"/>
    <w:rsid w:val="00A726DD"/>
    <w:rsid w:val="00A7436E"/>
    <w:rsid w:val="00A74E96"/>
    <w:rsid w:val="00A75118"/>
    <w:rsid w:val="00A75A8E"/>
    <w:rsid w:val="00A76A02"/>
    <w:rsid w:val="00A77BEE"/>
    <w:rsid w:val="00A8019A"/>
    <w:rsid w:val="00A81C98"/>
    <w:rsid w:val="00A824DD"/>
    <w:rsid w:val="00A83676"/>
    <w:rsid w:val="00A8373D"/>
    <w:rsid w:val="00A83B7B"/>
    <w:rsid w:val="00A84274"/>
    <w:rsid w:val="00A850F3"/>
    <w:rsid w:val="00A85904"/>
    <w:rsid w:val="00A864E3"/>
    <w:rsid w:val="00A915E0"/>
    <w:rsid w:val="00A94574"/>
    <w:rsid w:val="00A94994"/>
    <w:rsid w:val="00A95936"/>
    <w:rsid w:val="00A96265"/>
    <w:rsid w:val="00A96853"/>
    <w:rsid w:val="00A96995"/>
    <w:rsid w:val="00A97084"/>
    <w:rsid w:val="00AA1C2C"/>
    <w:rsid w:val="00AA2109"/>
    <w:rsid w:val="00AA35F6"/>
    <w:rsid w:val="00AA36F6"/>
    <w:rsid w:val="00AA5F02"/>
    <w:rsid w:val="00AA667C"/>
    <w:rsid w:val="00AA6E91"/>
    <w:rsid w:val="00AA7439"/>
    <w:rsid w:val="00AB047E"/>
    <w:rsid w:val="00AB0B0A"/>
    <w:rsid w:val="00AB0BB7"/>
    <w:rsid w:val="00AB1413"/>
    <w:rsid w:val="00AB22C6"/>
    <w:rsid w:val="00AB2AD0"/>
    <w:rsid w:val="00AB5E34"/>
    <w:rsid w:val="00AB67FC"/>
    <w:rsid w:val="00AC00F2"/>
    <w:rsid w:val="00AC1134"/>
    <w:rsid w:val="00AC31B5"/>
    <w:rsid w:val="00AC4EA1"/>
    <w:rsid w:val="00AC5381"/>
    <w:rsid w:val="00AC5920"/>
    <w:rsid w:val="00AC5F06"/>
    <w:rsid w:val="00AC7511"/>
    <w:rsid w:val="00AC7ADA"/>
    <w:rsid w:val="00AD0E65"/>
    <w:rsid w:val="00AD2BF2"/>
    <w:rsid w:val="00AD4E90"/>
    <w:rsid w:val="00AD5422"/>
    <w:rsid w:val="00AE383C"/>
    <w:rsid w:val="00AE3A49"/>
    <w:rsid w:val="00AE409A"/>
    <w:rsid w:val="00AE4179"/>
    <w:rsid w:val="00AE4425"/>
    <w:rsid w:val="00AE4FBE"/>
    <w:rsid w:val="00AE5077"/>
    <w:rsid w:val="00AE64E7"/>
    <w:rsid w:val="00AE650F"/>
    <w:rsid w:val="00AE6555"/>
    <w:rsid w:val="00AE7D16"/>
    <w:rsid w:val="00AF21F1"/>
    <w:rsid w:val="00AF26EB"/>
    <w:rsid w:val="00AF4CAA"/>
    <w:rsid w:val="00AF571A"/>
    <w:rsid w:val="00AF60A0"/>
    <w:rsid w:val="00AF67FC"/>
    <w:rsid w:val="00AF7DF5"/>
    <w:rsid w:val="00B001AF"/>
    <w:rsid w:val="00B001C9"/>
    <w:rsid w:val="00B006E5"/>
    <w:rsid w:val="00B0200E"/>
    <w:rsid w:val="00B024C2"/>
    <w:rsid w:val="00B03841"/>
    <w:rsid w:val="00B0425C"/>
    <w:rsid w:val="00B07700"/>
    <w:rsid w:val="00B120D9"/>
    <w:rsid w:val="00B13921"/>
    <w:rsid w:val="00B1528C"/>
    <w:rsid w:val="00B16923"/>
    <w:rsid w:val="00B16ACD"/>
    <w:rsid w:val="00B201FE"/>
    <w:rsid w:val="00B2039D"/>
    <w:rsid w:val="00B21487"/>
    <w:rsid w:val="00B232D1"/>
    <w:rsid w:val="00B24DB5"/>
    <w:rsid w:val="00B25F0E"/>
    <w:rsid w:val="00B27E9E"/>
    <w:rsid w:val="00B31F9E"/>
    <w:rsid w:val="00B3268F"/>
    <w:rsid w:val="00B32C2C"/>
    <w:rsid w:val="00B33A1A"/>
    <w:rsid w:val="00B33E6C"/>
    <w:rsid w:val="00B34C11"/>
    <w:rsid w:val="00B34E37"/>
    <w:rsid w:val="00B35AB8"/>
    <w:rsid w:val="00B36786"/>
    <w:rsid w:val="00B371CC"/>
    <w:rsid w:val="00B37B98"/>
    <w:rsid w:val="00B41A52"/>
    <w:rsid w:val="00B41CD9"/>
    <w:rsid w:val="00B41DA4"/>
    <w:rsid w:val="00B427E6"/>
    <w:rsid w:val="00B428A6"/>
    <w:rsid w:val="00B42BE0"/>
    <w:rsid w:val="00B43E1F"/>
    <w:rsid w:val="00B45FBC"/>
    <w:rsid w:val="00B474A3"/>
    <w:rsid w:val="00B51A7D"/>
    <w:rsid w:val="00B52496"/>
    <w:rsid w:val="00B535C2"/>
    <w:rsid w:val="00B53681"/>
    <w:rsid w:val="00B55544"/>
    <w:rsid w:val="00B6007A"/>
    <w:rsid w:val="00B615D2"/>
    <w:rsid w:val="00B63DE9"/>
    <w:rsid w:val="00B63EAC"/>
    <w:rsid w:val="00B642FC"/>
    <w:rsid w:val="00B648E9"/>
    <w:rsid w:val="00B64D26"/>
    <w:rsid w:val="00B64FBB"/>
    <w:rsid w:val="00B66C6C"/>
    <w:rsid w:val="00B66F1E"/>
    <w:rsid w:val="00B70E22"/>
    <w:rsid w:val="00B75580"/>
    <w:rsid w:val="00B768C9"/>
    <w:rsid w:val="00B774CB"/>
    <w:rsid w:val="00B80402"/>
    <w:rsid w:val="00B80B9A"/>
    <w:rsid w:val="00B80D88"/>
    <w:rsid w:val="00B830B7"/>
    <w:rsid w:val="00B837C7"/>
    <w:rsid w:val="00B846BF"/>
    <w:rsid w:val="00B848EA"/>
    <w:rsid w:val="00B84B2B"/>
    <w:rsid w:val="00B90500"/>
    <w:rsid w:val="00B9176C"/>
    <w:rsid w:val="00B919E5"/>
    <w:rsid w:val="00B92A35"/>
    <w:rsid w:val="00B935A4"/>
    <w:rsid w:val="00B94965"/>
    <w:rsid w:val="00B94F70"/>
    <w:rsid w:val="00B972E3"/>
    <w:rsid w:val="00BA1EC4"/>
    <w:rsid w:val="00BA50DC"/>
    <w:rsid w:val="00BA561A"/>
    <w:rsid w:val="00BB01A3"/>
    <w:rsid w:val="00BB0DC6"/>
    <w:rsid w:val="00BB15E4"/>
    <w:rsid w:val="00BB1E19"/>
    <w:rsid w:val="00BB21D1"/>
    <w:rsid w:val="00BB2FC1"/>
    <w:rsid w:val="00BB3180"/>
    <w:rsid w:val="00BB32F2"/>
    <w:rsid w:val="00BB4338"/>
    <w:rsid w:val="00BB540B"/>
    <w:rsid w:val="00BB6C0E"/>
    <w:rsid w:val="00BB7AAD"/>
    <w:rsid w:val="00BB7B38"/>
    <w:rsid w:val="00BC11E5"/>
    <w:rsid w:val="00BC25F1"/>
    <w:rsid w:val="00BC4BC6"/>
    <w:rsid w:val="00BC52FD"/>
    <w:rsid w:val="00BC6E62"/>
    <w:rsid w:val="00BC7443"/>
    <w:rsid w:val="00BD0648"/>
    <w:rsid w:val="00BD1040"/>
    <w:rsid w:val="00BD34AA"/>
    <w:rsid w:val="00BD5159"/>
    <w:rsid w:val="00BE0C44"/>
    <w:rsid w:val="00BE0E96"/>
    <w:rsid w:val="00BE1B8B"/>
    <w:rsid w:val="00BE1CAD"/>
    <w:rsid w:val="00BE2A18"/>
    <w:rsid w:val="00BE2C01"/>
    <w:rsid w:val="00BE3BF5"/>
    <w:rsid w:val="00BE41EC"/>
    <w:rsid w:val="00BE56FB"/>
    <w:rsid w:val="00BE67F6"/>
    <w:rsid w:val="00BE70D3"/>
    <w:rsid w:val="00BE7569"/>
    <w:rsid w:val="00BF3DDE"/>
    <w:rsid w:val="00BF5CE6"/>
    <w:rsid w:val="00BF6589"/>
    <w:rsid w:val="00BF6F7F"/>
    <w:rsid w:val="00C00647"/>
    <w:rsid w:val="00C02264"/>
    <w:rsid w:val="00C02764"/>
    <w:rsid w:val="00C04CEF"/>
    <w:rsid w:val="00C0662F"/>
    <w:rsid w:val="00C06B49"/>
    <w:rsid w:val="00C07B5C"/>
    <w:rsid w:val="00C1046F"/>
    <w:rsid w:val="00C11943"/>
    <w:rsid w:val="00C11CE0"/>
    <w:rsid w:val="00C12E96"/>
    <w:rsid w:val="00C14040"/>
    <w:rsid w:val="00C14763"/>
    <w:rsid w:val="00C14E36"/>
    <w:rsid w:val="00C155EB"/>
    <w:rsid w:val="00C16141"/>
    <w:rsid w:val="00C20F0D"/>
    <w:rsid w:val="00C21848"/>
    <w:rsid w:val="00C2363F"/>
    <w:rsid w:val="00C236C8"/>
    <w:rsid w:val="00C26093"/>
    <w:rsid w:val="00C260B1"/>
    <w:rsid w:val="00C26E56"/>
    <w:rsid w:val="00C30916"/>
    <w:rsid w:val="00C31406"/>
    <w:rsid w:val="00C31551"/>
    <w:rsid w:val="00C32D22"/>
    <w:rsid w:val="00C3318E"/>
    <w:rsid w:val="00C37194"/>
    <w:rsid w:val="00C3777A"/>
    <w:rsid w:val="00C404F4"/>
    <w:rsid w:val="00C40637"/>
    <w:rsid w:val="00C40F6C"/>
    <w:rsid w:val="00C42987"/>
    <w:rsid w:val="00C44426"/>
    <w:rsid w:val="00C445F3"/>
    <w:rsid w:val="00C451F4"/>
    <w:rsid w:val="00C45EB1"/>
    <w:rsid w:val="00C47013"/>
    <w:rsid w:val="00C4726F"/>
    <w:rsid w:val="00C47769"/>
    <w:rsid w:val="00C545D3"/>
    <w:rsid w:val="00C54709"/>
    <w:rsid w:val="00C54A3A"/>
    <w:rsid w:val="00C55366"/>
    <w:rsid w:val="00C553CF"/>
    <w:rsid w:val="00C55566"/>
    <w:rsid w:val="00C560F4"/>
    <w:rsid w:val="00C56448"/>
    <w:rsid w:val="00C60362"/>
    <w:rsid w:val="00C61082"/>
    <w:rsid w:val="00C64AC6"/>
    <w:rsid w:val="00C663FF"/>
    <w:rsid w:val="00C667BE"/>
    <w:rsid w:val="00C671B9"/>
    <w:rsid w:val="00C67469"/>
    <w:rsid w:val="00C6766B"/>
    <w:rsid w:val="00C704F6"/>
    <w:rsid w:val="00C70B22"/>
    <w:rsid w:val="00C72223"/>
    <w:rsid w:val="00C73050"/>
    <w:rsid w:val="00C739EE"/>
    <w:rsid w:val="00C7431B"/>
    <w:rsid w:val="00C7460B"/>
    <w:rsid w:val="00C76417"/>
    <w:rsid w:val="00C7726F"/>
    <w:rsid w:val="00C77D0A"/>
    <w:rsid w:val="00C8050A"/>
    <w:rsid w:val="00C823DA"/>
    <w:rsid w:val="00C8259F"/>
    <w:rsid w:val="00C82746"/>
    <w:rsid w:val="00C8312F"/>
    <w:rsid w:val="00C84C47"/>
    <w:rsid w:val="00C858A4"/>
    <w:rsid w:val="00C861B7"/>
    <w:rsid w:val="00C86AFA"/>
    <w:rsid w:val="00C927CC"/>
    <w:rsid w:val="00C93F33"/>
    <w:rsid w:val="00CA23FE"/>
    <w:rsid w:val="00CA3F67"/>
    <w:rsid w:val="00CA5B5C"/>
    <w:rsid w:val="00CA7851"/>
    <w:rsid w:val="00CB0991"/>
    <w:rsid w:val="00CB18D0"/>
    <w:rsid w:val="00CB1C8A"/>
    <w:rsid w:val="00CB24F5"/>
    <w:rsid w:val="00CB2663"/>
    <w:rsid w:val="00CB3BBE"/>
    <w:rsid w:val="00CB5339"/>
    <w:rsid w:val="00CB59E9"/>
    <w:rsid w:val="00CB6191"/>
    <w:rsid w:val="00CB66CC"/>
    <w:rsid w:val="00CC0D6A"/>
    <w:rsid w:val="00CC2F4A"/>
    <w:rsid w:val="00CC3831"/>
    <w:rsid w:val="00CC3E3D"/>
    <w:rsid w:val="00CC4377"/>
    <w:rsid w:val="00CC519B"/>
    <w:rsid w:val="00CC520E"/>
    <w:rsid w:val="00CD12C1"/>
    <w:rsid w:val="00CD214E"/>
    <w:rsid w:val="00CD31F1"/>
    <w:rsid w:val="00CD46FA"/>
    <w:rsid w:val="00CD5973"/>
    <w:rsid w:val="00CD771E"/>
    <w:rsid w:val="00CE1222"/>
    <w:rsid w:val="00CE31A6"/>
    <w:rsid w:val="00CF09AA"/>
    <w:rsid w:val="00CF4813"/>
    <w:rsid w:val="00CF501D"/>
    <w:rsid w:val="00CF5233"/>
    <w:rsid w:val="00D0149F"/>
    <w:rsid w:val="00D01825"/>
    <w:rsid w:val="00D01C30"/>
    <w:rsid w:val="00D029B8"/>
    <w:rsid w:val="00D02F60"/>
    <w:rsid w:val="00D0464E"/>
    <w:rsid w:val="00D04A96"/>
    <w:rsid w:val="00D04FBC"/>
    <w:rsid w:val="00D07A7B"/>
    <w:rsid w:val="00D10E06"/>
    <w:rsid w:val="00D11A7F"/>
    <w:rsid w:val="00D11F6D"/>
    <w:rsid w:val="00D15197"/>
    <w:rsid w:val="00D15C33"/>
    <w:rsid w:val="00D16820"/>
    <w:rsid w:val="00D169C8"/>
    <w:rsid w:val="00D16F67"/>
    <w:rsid w:val="00D1706B"/>
    <w:rsid w:val="00D1770D"/>
    <w:rsid w:val="00D1793F"/>
    <w:rsid w:val="00D17AD4"/>
    <w:rsid w:val="00D21D86"/>
    <w:rsid w:val="00D2259C"/>
    <w:rsid w:val="00D22AF5"/>
    <w:rsid w:val="00D235EA"/>
    <w:rsid w:val="00D247A9"/>
    <w:rsid w:val="00D26008"/>
    <w:rsid w:val="00D26E47"/>
    <w:rsid w:val="00D278DB"/>
    <w:rsid w:val="00D309FE"/>
    <w:rsid w:val="00D30EA2"/>
    <w:rsid w:val="00D32721"/>
    <w:rsid w:val="00D328DC"/>
    <w:rsid w:val="00D33387"/>
    <w:rsid w:val="00D34D64"/>
    <w:rsid w:val="00D368C7"/>
    <w:rsid w:val="00D402FB"/>
    <w:rsid w:val="00D41617"/>
    <w:rsid w:val="00D42E7D"/>
    <w:rsid w:val="00D43FC4"/>
    <w:rsid w:val="00D44227"/>
    <w:rsid w:val="00D444FB"/>
    <w:rsid w:val="00D47D7A"/>
    <w:rsid w:val="00D50ABD"/>
    <w:rsid w:val="00D50B53"/>
    <w:rsid w:val="00D50CEB"/>
    <w:rsid w:val="00D5360C"/>
    <w:rsid w:val="00D55290"/>
    <w:rsid w:val="00D5674D"/>
    <w:rsid w:val="00D57791"/>
    <w:rsid w:val="00D6046A"/>
    <w:rsid w:val="00D613D0"/>
    <w:rsid w:val="00D62870"/>
    <w:rsid w:val="00D629D2"/>
    <w:rsid w:val="00D655D9"/>
    <w:rsid w:val="00D65872"/>
    <w:rsid w:val="00D66506"/>
    <w:rsid w:val="00D66DCE"/>
    <w:rsid w:val="00D676F3"/>
    <w:rsid w:val="00D70EF5"/>
    <w:rsid w:val="00D71024"/>
    <w:rsid w:val="00D71A25"/>
    <w:rsid w:val="00D71FCF"/>
    <w:rsid w:val="00D72A54"/>
    <w:rsid w:val="00D72CC1"/>
    <w:rsid w:val="00D731EC"/>
    <w:rsid w:val="00D76EC9"/>
    <w:rsid w:val="00D77939"/>
    <w:rsid w:val="00D80E7D"/>
    <w:rsid w:val="00D81397"/>
    <w:rsid w:val="00D842F9"/>
    <w:rsid w:val="00D8436C"/>
    <w:rsid w:val="00D848B9"/>
    <w:rsid w:val="00D8665A"/>
    <w:rsid w:val="00D90E69"/>
    <w:rsid w:val="00D91368"/>
    <w:rsid w:val="00D93106"/>
    <w:rsid w:val="00D933E9"/>
    <w:rsid w:val="00D944CC"/>
    <w:rsid w:val="00D9505D"/>
    <w:rsid w:val="00D953D0"/>
    <w:rsid w:val="00D9599F"/>
    <w:rsid w:val="00D959F5"/>
    <w:rsid w:val="00D96884"/>
    <w:rsid w:val="00D96F01"/>
    <w:rsid w:val="00DA3FDD"/>
    <w:rsid w:val="00DA555D"/>
    <w:rsid w:val="00DA7017"/>
    <w:rsid w:val="00DA7028"/>
    <w:rsid w:val="00DB06F5"/>
    <w:rsid w:val="00DB1AD2"/>
    <w:rsid w:val="00DB2973"/>
    <w:rsid w:val="00DB2A51"/>
    <w:rsid w:val="00DB2B58"/>
    <w:rsid w:val="00DB3187"/>
    <w:rsid w:val="00DB32AE"/>
    <w:rsid w:val="00DB5206"/>
    <w:rsid w:val="00DB5B48"/>
    <w:rsid w:val="00DB6276"/>
    <w:rsid w:val="00DB63F5"/>
    <w:rsid w:val="00DB6968"/>
    <w:rsid w:val="00DC0D4C"/>
    <w:rsid w:val="00DC1C6B"/>
    <w:rsid w:val="00DC2C2E"/>
    <w:rsid w:val="00DC34B2"/>
    <w:rsid w:val="00DC3A55"/>
    <w:rsid w:val="00DC4AF0"/>
    <w:rsid w:val="00DC5325"/>
    <w:rsid w:val="00DC6AA7"/>
    <w:rsid w:val="00DC6F5E"/>
    <w:rsid w:val="00DC7886"/>
    <w:rsid w:val="00DC7C01"/>
    <w:rsid w:val="00DC7CE9"/>
    <w:rsid w:val="00DD0CF2"/>
    <w:rsid w:val="00DD2408"/>
    <w:rsid w:val="00DD5BBF"/>
    <w:rsid w:val="00DD7F66"/>
    <w:rsid w:val="00DE04E2"/>
    <w:rsid w:val="00DE1554"/>
    <w:rsid w:val="00DE2750"/>
    <w:rsid w:val="00DE2901"/>
    <w:rsid w:val="00DE5121"/>
    <w:rsid w:val="00DE590F"/>
    <w:rsid w:val="00DE7DC1"/>
    <w:rsid w:val="00DF08C3"/>
    <w:rsid w:val="00DF3690"/>
    <w:rsid w:val="00DF3EB1"/>
    <w:rsid w:val="00DF3F7E"/>
    <w:rsid w:val="00DF573E"/>
    <w:rsid w:val="00DF7648"/>
    <w:rsid w:val="00E00E29"/>
    <w:rsid w:val="00E015EB"/>
    <w:rsid w:val="00E02BAB"/>
    <w:rsid w:val="00E047F6"/>
    <w:rsid w:val="00E04CEB"/>
    <w:rsid w:val="00E060BC"/>
    <w:rsid w:val="00E077AC"/>
    <w:rsid w:val="00E11420"/>
    <w:rsid w:val="00E132FB"/>
    <w:rsid w:val="00E142E7"/>
    <w:rsid w:val="00E14CED"/>
    <w:rsid w:val="00E170B7"/>
    <w:rsid w:val="00E17503"/>
    <w:rsid w:val="00E177DD"/>
    <w:rsid w:val="00E20900"/>
    <w:rsid w:val="00E20C7F"/>
    <w:rsid w:val="00E21027"/>
    <w:rsid w:val="00E2396E"/>
    <w:rsid w:val="00E24728"/>
    <w:rsid w:val="00E25CD6"/>
    <w:rsid w:val="00E276AC"/>
    <w:rsid w:val="00E277AB"/>
    <w:rsid w:val="00E30C13"/>
    <w:rsid w:val="00E30DAC"/>
    <w:rsid w:val="00E31B61"/>
    <w:rsid w:val="00E34A35"/>
    <w:rsid w:val="00E36FFF"/>
    <w:rsid w:val="00E37C2F"/>
    <w:rsid w:val="00E4093D"/>
    <w:rsid w:val="00E41C28"/>
    <w:rsid w:val="00E43492"/>
    <w:rsid w:val="00E46308"/>
    <w:rsid w:val="00E51E17"/>
    <w:rsid w:val="00E52DAB"/>
    <w:rsid w:val="00E539B0"/>
    <w:rsid w:val="00E55994"/>
    <w:rsid w:val="00E576AE"/>
    <w:rsid w:val="00E60606"/>
    <w:rsid w:val="00E60C66"/>
    <w:rsid w:val="00E6164D"/>
    <w:rsid w:val="00E618C9"/>
    <w:rsid w:val="00E62774"/>
    <w:rsid w:val="00E62E6C"/>
    <w:rsid w:val="00E6307C"/>
    <w:rsid w:val="00E6333D"/>
    <w:rsid w:val="00E636FA"/>
    <w:rsid w:val="00E65725"/>
    <w:rsid w:val="00E65A85"/>
    <w:rsid w:val="00E66A56"/>
    <w:rsid w:val="00E66C50"/>
    <w:rsid w:val="00E679D3"/>
    <w:rsid w:val="00E67FA2"/>
    <w:rsid w:val="00E71208"/>
    <w:rsid w:val="00E71444"/>
    <w:rsid w:val="00E71C91"/>
    <w:rsid w:val="00E720A1"/>
    <w:rsid w:val="00E721F8"/>
    <w:rsid w:val="00E73247"/>
    <w:rsid w:val="00E75DDA"/>
    <w:rsid w:val="00E773E8"/>
    <w:rsid w:val="00E83ADD"/>
    <w:rsid w:val="00E84D8B"/>
    <w:rsid w:val="00E84F38"/>
    <w:rsid w:val="00E85623"/>
    <w:rsid w:val="00E87441"/>
    <w:rsid w:val="00E91FAE"/>
    <w:rsid w:val="00E92933"/>
    <w:rsid w:val="00E932EE"/>
    <w:rsid w:val="00E93A8C"/>
    <w:rsid w:val="00E9523A"/>
    <w:rsid w:val="00E95FE5"/>
    <w:rsid w:val="00E96E3F"/>
    <w:rsid w:val="00EA22E7"/>
    <w:rsid w:val="00EA247A"/>
    <w:rsid w:val="00EA270C"/>
    <w:rsid w:val="00EA2D2A"/>
    <w:rsid w:val="00EA2FE9"/>
    <w:rsid w:val="00EA4974"/>
    <w:rsid w:val="00EA532E"/>
    <w:rsid w:val="00EA5679"/>
    <w:rsid w:val="00EA7D28"/>
    <w:rsid w:val="00EB06D9"/>
    <w:rsid w:val="00EB0AE7"/>
    <w:rsid w:val="00EB192B"/>
    <w:rsid w:val="00EB19ED"/>
    <w:rsid w:val="00EB1CAB"/>
    <w:rsid w:val="00EC0F5A"/>
    <w:rsid w:val="00EC3E0E"/>
    <w:rsid w:val="00EC4265"/>
    <w:rsid w:val="00EC4CEB"/>
    <w:rsid w:val="00EC5626"/>
    <w:rsid w:val="00EC659E"/>
    <w:rsid w:val="00ED110D"/>
    <w:rsid w:val="00ED2072"/>
    <w:rsid w:val="00ED248B"/>
    <w:rsid w:val="00ED2AE0"/>
    <w:rsid w:val="00ED343A"/>
    <w:rsid w:val="00ED4445"/>
    <w:rsid w:val="00ED5553"/>
    <w:rsid w:val="00ED5E36"/>
    <w:rsid w:val="00ED6961"/>
    <w:rsid w:val="00ED74EF"/>
    <w:rsid w:val="00EE2FC7"/>
    <w:rsid w:val="00EE5459"/>
    <w:rsid w:val="00EE5A71"/>
    <w:rsid w:val="00EE7C3E"/>
    <w:rsid w:val="00EF0B96"/>
    <w:rsid w:val="00EF0CF3"/>
    <w:rsid w:val="00EF3486"/>
    <w:rsid w:val="00EF47AF"/>
    <w:rsid w:val="00EF53B6"/>
    <w:rsid w:val="00EF781F"/>
    <w:rsid w:val="00F00B73"/>
    <w:rsid w:val="00F044A1"/>
    <w:rsid w:val="00F04AF8"/>
    <w:rsid w:val="00F058E1"/>
    <w:rsid w:val="00F06FC6"/>
    <w:rsid w:val="00F115CA"/>
    <w:rsid w:val="00F14817"/>
    <w:rsid w:val="00F1492B"/>
    <w:rsid w:val="00F14EBA"/>
    <w:rsid w:val="00F1510F"/>
    <w:rsid w:val="00F1533A"/>
    <w:rsid w:val="00F15569"/>
    <w:rsid w:val="00F15E5A"/>
    <w:rsid w:val="00F174D6"/>
    <w:rsid w:val="00F17F0A"/>
    <w:rsid w:val="00F26206"/>
    <w:rsid w:val="00F2668F"/>
    <w:rsid w:val="00F2742F"/>
    <w:rsid w:val="00F2753B"/>
    <w:rsid w:val="00F33F8B"/>
    <w:rsid w:val="00F340B2"/>
    <w:rsid w:val="00F43390"/>
    <w:rsid w:val="00F443B2"/>
    <w:rsid w:val="00F458D8"/>
    <w:rsid w:val="00F45BF6"/>
    <w:rsid w:val="00F50237"/>
    <w:rsid w:val="00F516AE"/>
    <w:rsid w:val="00F53596"/>
    <w:rsid w:val="00F540F4"/>
    <w:rsid w:val="00F55BA8"/>
    <w:rsid w:val="00F55DB1"/>
    <w:rsid w:val="00F5629B"/>
    <w:rsid w:val="00F566D8"/>
    <w:rsid w:val="00F56ACA"/>
    <w:rsid w:val="00F5713F"/>
    <w:rsid w:val="00F600FE"/>
    <w:rsid w:val="00F62E4D"/>
    <w:rsid w:val="00F66B34"/>
    <w:rsid w:val="00F675B9"/>
    <w:rsid w:val="00F67ADA"/>
    <w:rsid w:val="00F711C9"/>
    <w:rsid w:val="00F74C59"/>
    <w:rsid w:val="00F75C3A"/>
    <w:rsid w:val="00F77066"/>
    <w:rsid w:val="00F82E30"/>
    <w:rsid w:val="00F831CB"/>
    <w:rsid w:val="00F847A4"/>
    <w:rsid w:val="00F848A3"/>
    <w:rsid w:val="00F84ACF"/>
    <w:rsid w:val="00F85742"/>
    <w:rsid w:val="00F85BF8"/>
    <w:rsid w:val="00F871CE"/>
    <w:rsid w:val="00F87802"/>
    <w:rsid w:val="00F92C0A"/>
    <w:rsid w:val="00F9415B"/>
    <w:rsid w:val="00F94657"/>
    <w:rsid w:val="00F9756C"/>
    <w:rsid w:val="00FA13C2"/>
    <w:rsid w:val="00FA675C"/>
    <w:rsid w:val="00FA7F91"/>
    <w:rsid w:val="00FB121C"/>
    <w:rsid w:val="00FB1CDD"/>
    <w:rsid w:val="00FB2C2F"/>
    <w:rsid w:val="00FB305C"/>
    <w:rsid w:val="00FB384A"/>
    <w:rsid w:val="00FB429A"/>
    <w:rsid w:val="00FB759A"/>
    <w:rsid w:val="00FB7CF5"/>
    <w:rsid w:val="00FC2E3D"/>
    <w:rsid w:val="00FC3BDE"/>
    <w:rsid w:val="00FC5512"/>
    <w:rsid w:val="00FC772D"/>
    <w:rsid w:val="00FD1DBE"/>
    <w:rsid w:val="00FD25A7"/>
    <w:rsid w:val="00FD27B6"/>
    <w:rsid w:val="00FD3514"/>
    <w:rsid w:val="00FD3689"/>
    <w:rsid w:val="00FD42A3"/>
    <w:rsid w:val="00FD6FCE"/>
    <w:rsid w:val="00FD7468"/>
    <w:rsid w:val="00FD7CE0"/>
    <w:rsid w:val="00FE074D"/>
    <w:rsid w:val="00FE08E2"/>
    <w:rsid w:val="00FE0B3B"/>
    <w:rsid w:val="00FE0DBE"/>
    <w:rsid w:val="00FE1BE2"/>
    <w:rsid w:val="00FE3278"/>
    <w:rsid w:val="00FE730A"/>
    <w:rsid w:val="00FF1DD7"/>
    <w:rsid w:val="00FF222A"/>
    <w:rsid w:val="00FF3F7E"/>
    <w:rsid w:val="00FF4453"/>
    <w:rsid w:val="00FF483B"/>
    <w:rsid w:val="00FF586E"/>
    <w:rsid w:val="00FF5902"/>
    <w:rsid w:val="00FF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1CF8A"/>
  <w15:docId w15:val="{30454336-A095-43DD-A75E-5C00534D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B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E31B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7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D44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4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D4445"/>
    <w:rPr>
      <w:vertAlign w:val="superscript"/>
    </w:rPr>
  </w:style>
  <w:style w:type="paragraph" w:styleId="Poprawka">
    <w:name w:val="Revision"/>
    <w:hidden/>
    <w:uiPriority w:val="99"/>
    <w:semiHidden/>
    <w:rsid w:val="00B001AF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k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73997-998A-4238-A210-745FB9CB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2816</Words>
  <Characters>16897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Michalak Katarzyna  (DWM)</dc:creator>
  <cp:lastModifiedBy>Angelika Tomasiewicz</cp:lastModifiedBy>
  <cp:revision>2</cp:revision>
  <cp:lastPrinted>2020-02-13T13:48:00Z</cp:lastPrinted>
  <dcterms:created xsi:type="dcterms:W3CDTF">2020-02-25T14:27:00Z</dcterms:created>
  <dcterms:modified xsi:type="dcterms:W3CDTF">2020-02-25T14:27:00Z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